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枞阳海螺超低排放增加洗车台、收尘平台改造等项目土方机械租赁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57</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eastAsia="zh-CN"/>
        </w:rPr>
        <w:t>枞阳海螺超低排放增加洗车台、收尘平台改造等项目</w:t>
      </w:r>
      <w:r>
        <w:rPr>
          <w:rFonts w:hint="eastAsia" w:ascii="仿宋" w:hAnsi="仿宋" w:eastAsia="仿宋" w:cs="仿宋"/>
          <w:b/>
          <w:bCs/>
          <w:sz w:val="24"/>
          <w:szCs w:val="24"/>
          <w:u w:val="none"/>
          <w:lang w:val="en-US" w:eastAsia="zh-CN"/>
        </w:rPr>
        <w:t>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枞阳海螺超低排放增加洗车台、收尘平台改造等项目</w:t>
      </w:r>
      <w:r>
        <w:rPr>
          <w:rFonts w:hint="eastAsia" w:ascii="仿宋" w:hAnsi="仿宋" w:eastAsia="仿宋" w:cs="仿宋"/>
          <w:sz w:val="24"/>
          <w:szCs w:val="24"/>
          <w:u w:val="single"/>
          <w:lang w:val="en-US" w:eastAsia="zh-CN"/>
        </w:rPr>
        <w:t>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w:t>
      </w:r>
      <w:r>
        <w:rPr>
          <w:rFonts w:hint="eastAsia" w:ascii="仿宋" w:hAnsi="仿宋" w:eastAsia="仿宋" w:cs="仿宋"/>
          <w:color w:val="auto"/>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26</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bookmarkStart w:id="2" w:name="_GoBack"/>
      <w:bookmarkEnd w:id="2"/>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枞阳海螺超低排放增加洗车台、收尘平台改造等项目土方机械设备租赁</w:t>
      </w:r>
    </w:p>
    <w:p w14:paraId="26C0026C">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：铜陵市枞阳县藕山镇</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场地平整、土方开挖、土方回填、土方运输等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2个月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5BA73162">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枞阳海螺超低排放增加洗车台、收尘平台改造等项目土方机械租赁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TGJA-JX-2025-057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66"/>
        <w:gridCol w:w="1270"/>
        <w:gridCol w:w="3330"/>
        <w:gridCol w:w="750"/>
        <w:gridCol w:w="868"/>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66"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0"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330"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68"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66" w:type="dxa"/>
            <w:vMerge w:val="continue"/>
            <w:noWrap w:val="0"/>
            <w:vAlign w:val="center"/>
          </w:tcPr>
          <w:p w14:paraId="785F4B5A">
            <w:pPr>
              <w:jc w:val="center"/>
              <w:rPr>
                <w:rFonts w:hint="eastAsia" w:ascii="仿宋" w:hAnsi="仿宋" w:eastAsia="仿宋" w:cs="仿宋"/>
                <w:b/>
                <w:sz w:val="24"/>
                <w:szCs w:val="24"/>
                <w:lang w:eastAsia="zh-CN"/>
              </w:rPr>
            </w:pPr>
          </w:p>
        </w:tc>
        <w:tc>
          <w:tcPr>
            <w:tcW w:w="1270" w:type="dxa"/>
            <w:vMerge w:val="continue"/>
            <w:noWrap w:val="0"/>
            <w:vAlign w:val="center"/>
          </w:tcPr>
          <w:p w14:paraId="4407F581">
            <w:pPr>
              <w:jc w:val="center"/>
              <w:rPr>
                <w:rFonts w:hint="eastAsia" w:ascii="仿宋" w:hAnsi="仿宋" w:eastAsia="仿宋" w:cs="仿宋"/>
                <w:b/>
                <w:sz w:val="24"/>
                <w:szCs w:val="24"/>
                <w:lang w:eastAsia="zh-CN"/>
              </w:rPr>
            </w:pPr>
          </w:p>
        </w:tc>
        <w:tc>
          <w:tcPr>
            <w:tcW w:w="3330" w:type="dxa"/>
            <w:vMerge w:val="continue"/>
            <w:noWrap w:val="0"/>
            <w:vAlign w:val="center"/>
          </w:tcPr>
          <w:p w14:paraId="246FD107">
            <w:pPr>
              <w:jc w:val="center"/>
              <w:rPr>
                <w:rFonts w:hint="eastAsia" w:ascii="仿宋" w:hAnsi="仿宋" w:eastAsia="仿宋" w:cs="仿宋"/>
                <w:b/>
                <w:sz w:val="24"/>
                <w:szCs w:val="24"/>
              </w:rPr>
            </w:pPr>
          </w:p>
        </w:tc>
        <w:tc>
          <w:tcPr>
            <w:tcW w:w="750" w:type="dxa"/>
            <w:vMerge w:val="continue"/>
            <w:noWrap w:val="0"/>
            <w:vAlign w:val="center"/>
          </w:tcPr>
          <w:p w14:paraId="72EDC809">
            <w:pPr>
              <w:jc w:val="center"/>
              <w:rPr>
                <w:rFonts w:hint="eastAsia" w:ascii="仿宋" w:hAnsi="仿宋" w:eastAsia="仿宋" w:cs="仿宋"/>
                <w:b/>
                <w:sz w:val="24"/>
                <w:szCs w:val="24"/>
              </w:rPr>
            </w:pPr>
          </w:p>
        </w:tc>
        <w:tc>
          <w:tcPr>
            <w:tcW w:w="868"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66" w:type="dxa"/>
            <w:shd w:val="clear" w:color="auto" w:fill="auto"/>
            <w:noWrap w:val="0"/>
            <w:vAlign w:val="center"/>
          </w:tcPr>
          <w:p w14:paraId="75C8C2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1270" w:type="dxa"/>
            <w:shd w:val="clear" w:color="auto" w:fill="auto"/>
            <w:noWrap w:val="0"/>
            <w:vAlign w:val="center"/>
          </w:tcPr>
          <w:p w14:paraId="659AF173">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330" w:type="dxa"/>
            <w:shd w:val="clear" w:color="auto" w:fill="auto"/>
            <w:noWrap w:val="0"/>
            <w:vAlign w:val="center"/>
          </w:tcPr>
          <w:p w14:paraId="2836C92A">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cs="Times New Roman"/>
                <w:kern w:val="2"/>
                <w:sz w:val="20"/>
                <w:szCs w:val="20"/>
                <w:lang w:val="en-US" w:eastAsia="zh-CN" w:bidi="ar-SA"/>
              </w:rPr>
              <w:t>1、场地平整</w:t>
            </w:r>
          </w:p>
        </w:tc>
        <w:tc>
          <w:tcPr>
            <w:tcW w:w="750" w:type="dxa"/>
            <w:shd w:val="clear" w:color="auto" w:fill="auto"/>
            <w:noWrap w:val="0"/>
            <w:vAlign w:val="center"/>
          </w:tcPr>
          <w:p w14:paraId="4562503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2</w:t>
            </w:r>
          </w:p>
        </w:tc>
        <w:tc>
          <w:tcPr>
            <w:tcW w:w="868" w:type="dxa"/>
            <w:shd w:val="clear" w:color="auto" w:fill="auto"/>
            <w:noWrap w:val="0"/>
            <w:vAlign w:val="center"/>
          </w:tcPr>
          <w:p w14:paraId="0C0825A2">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eastAsia="宋体"/>
                <w:sz w:val="24"/>
                <w:szCs w:val="24"/>
                <w:lang w:val="en-US" w:eastAsia="zh-CN"/>
              </w:rPr>
              <w:t>2500</w:t>
            </w:r>
          </w:p>
        </w:tc>
        <w:tc>
          <w:tcPr>
            <w:tcW w:w="1712" w:type="dxa"/>
            <w:shd w:val="clear" w:color="auto" w:fill="auto"/>
            <w:noWrap w:val="0"/>
            <w:vAlign w:val="center"/>
          </w:tcPr>
          <w:p w14:paraId="3576F19A">
            <w:pPr>
              <w:jc w:val="center"/>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0.8元/m</w:t>
            </w:r>
            <w:r>
              <w:rPr>
                <w:rFonts w:hint="eastAsia" w:eastAsia="宋体" w:cs="Times New Roman"/>
                <w:kern w:val="2"/>
                <w:sz w:val="24"/>
                <w:szCs w:val="24"/>
                <w:vertAlign w:val="superscript"/>
                <w:lang w:val="en-US" w:eastAsia="zh-CN" w:bidi="ar-SA"/>
              </w:rPr>
              <w:t>2</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354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560F2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66" w:type="dxa"/>
            <w:shd w:val="clear" w:color="auto" w:fill="auto"/>
            <w:noWrap w:val="0"/>
            <w:vAlign w:val="center"/>
          </w:tcPr>
          <w:p w14:paraId="13B70D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1270" w:type="dxa"/>
            <w:shd w:val="clear" w:color="auto" w:fill="auto"/>
            <w:noWrap w:val="0"/>
            <w:vAlign w:val="center"/>
          </w:tcPr>
          <w:p w14:paraId="07203F24">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330" w:type="dxa"/>
            <w:shd w:val="clear" w:color="auto" w:fill="auto"/>
            <w:noWrap w:val="0"/>
            <w:vAlign w:val="center"/>
          </w:tcPr>
          <w:p w14:paraId="169C836F">
            <w:pPr>
              <w:numPr>
                <w:ilvl w:val="0"/>
                <w:numId w:val="0"/>
              </w:numPr>
              <w:jc w:val="left"/>
              <w:rPr>
                <w:rFonts w:hint="eastAsia" w:ascii="Calibri" w:hAnsi="Calibri" w:eastAsia="宋体" w:cs="Times New Roman"/>
                <w:kern w:val="2"/>
                <w:sz w:val="20"/>
                <w:szCs w:val="20"/>
                <w:lang w:val="en-US" w:eastAsia="zh-CN" w:bidi="ar-SA"/>
              </w:rPr>
            </w:pPr>
            <w:r>
              <w:rPr>
                <w:rFonts w:hint="eastAsia"/>
                <w:sz w:val="20"/>
                <w:szCs w:val="20"/>
                <w:lang w:val="en-US" w:eastAsia="zh-CN"/>
              </w:rPr>
              <w:t>1、挖掘机挖一般土方不装车</w:t>
            </w:r>
          </w:p>
          <w:p w14:paraId="6270BF23">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750" w:type="dxa"/>
            <w:shd w:val="clear" w:color="auto" w:fill="auto"/>
            <w:noWrap w:val="0"/>
            <w:vAlign w:val="center"/>
          </w:tcPr>
          <w:p w14:paraId="4DA793C7">
            <w:pPr>
              <w:keepNext w:val="0"/>
              <w:keepLines w:val="0"/>
              <w:widowControl/>
              <w:suppressLineNumbers w:val="0"/>
              <w:jc w:val="center"/>
              <w:textAlignment w:val="center"/>
              <w:rPr>
                <w:rFonts w:hint="eastAsia"/>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8" w:type="dxa"/>
            <w:shd w:val="clear" w:color="auto" w:fill="auto"/>
            <w:noWrap w:val="0"/>
            <w:vAlign w:val="center"/>
          </w:tcPr>
          <w:p w14:paraId="7E00537A">
            <w:pPr>
              <w:jc w:val="center"/>
              <w:rPr>
                <w:rFonts w:hint="eastAsia" w:eastAsia="宋体"/>
                <w:sz w:val="24"/>
                <w:szCs w:val="24"/>
                <w:lang w:val="en-US" w:eastAsia="zh-CN"/>
              </w:rPr>
            </w:pPr>
            <w:r>
              <w:rPr>
                <w:rFonts w:hint="eastAsia" w:eastAsia="宋体" w:cs="Times New Roman"/>
                <w:kern w:val="2"/>
                <w:sz w:val="24"/>
                <w:szCs w:val="24"/>
                <w:lang w:val="en-US" w:eastAsia="zh-CN" w:bidi="ar-SA"/>
              </w:rPr>
              <w:t>200</w:t>
            </w:r>
          </w:p>
        </w:tc>
        <w:tc>
          <w:tcPr>
            <w:tcW w:w="1712" w:type="dxa"/>
            <w:shd w:val="clear" w:color="auto" w:fill="auto"/>
            <w:noWrap w:val="0"/>
            <w:vAlign w:val="center"/>
          </w:tcPr>
          <w:p w14:paraId="35527B3C">
            <w:pPr>
              <w:jc w:val="center"/>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4元/m</w:t>
            </w:r>
            <w:r>
              <w:rPr>
                <w:rFonts w:hint="eastAsia" w:eastAsia="宋体" w:cs="Times New Roman"/>
                <w:kern w:val="2"/>
                <w:sz w:val="24"/>
                <w:szCs w:val="24"/>
                <w:vertAlign w:val="superscript"/>
                <w:lang w:val="en-US" w:eastAsia="zh-CN" w:bidi="ar-SA"/>
              </w:rPr>
              <w:t>3</w:t>
            </w:r>
          </w:p>
        </w:tc>
        <w:tc>
          <w:tcPr>
            <w:tcW w:w="1500" w:type="dxa"/>
            <w:noWrap w:val="0"/>
            <w:vAlign w:val="center"/>
          </w:tcPr>
          <w:p w14:paraId="106F0A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BFCDC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0ED210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C4F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5C885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66" w:type="dxa"/>
            <w:shd w:val="clear" w:color="auto" w:fill="auto"/>
            <w:noWrap w:val="0"/>
            <w:vAlign w:val="center"/>
          </w:tcPr>
          <w:p w14:paraId="3E0277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1270" w:type="dxa"/>
            <w:shd w:val="clear" w:color="auto" w:fill="auto"/>
            <w:noWrap w:val="0"/>
            <w:vAlign w:val="center"/>
          </w:tcPr>
          <w:p w14:paraId="18A158A4">
            <w:pPr>
              <w:keepNext w:val="0"/>
              <w:keepLines w:val="0"/>
              <w:widowControl/>
              <w:suppressLineNumbers w:val="0"/>
              <w:jc w:val="center"/>
              <w:textAlignment w:val="center"/>
              <w:rPr>
                <w:rFonts w:hint="eastAsia" w:ascii="Times New Roman" w:hAnsi="Times New Roman" w:eastAsia="宋体" w:cs="Times New Roman"/>
                <w:i w:val="0"/>
                <w:iCs w:val="0"/>
                <w:color w:val="FF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330" w:type="dxa"/>
            <w:shd w:val="clear" w:color="auto" w:fill="auto"/>
            <w:noWrap w:val="0"/>
            <w:vAlign w:val="center"/>
          </w:tcPr>
          <w:p w14:paraId="4864B268">
            <w:pPr>
              <w:numPr>
                <w:ilvl w:val="0"/>
                <w:numId w:val="0"/>
              </w:numPr>
              <w:ind w:leftChars="0"/>
              <w:jc w:val="left"/>
              <w:rPr>
                <w:rFonts w:hint="eastAsia"/>
                <w:sz w:val="20"/>
                <w:szCs w:val="20"/>
                <w:lang w:val="en-US" w:eastAsia="zh-CN"/>
              </w:rPr>
            </w:pPr>
            <w:r>
              <w:rPr>
                <w:rFonts w:hint="eastAsia"/>
                <w:sz w:val="20"/>
                <w:szCs w:val="20"/>
                <w:lang w:val="en-US" w:eastAsia="zh-CN"/>
              </w:rPr>
              <w:t>1、挖掘机挖基坑、</w:t>
            </w:r>
            <w:r>
              <w:rPr>
                <w:rFonts w:hint="eastAsia"/>
                <w:sz w:val="20"/>
                <w:szCs w:val="20"/>
                <w:lang w:eastAsia="zh-CN"/>
              </w:rPr>
              <w:t>沟槽</w:t>
            </w:r>
            <w:r>
              <w:rPr>
                <w:rFonts w:hint="eastAsia"/>
                <w:sz w:val="20"/>
                <w:szCs w:val="20"/>
                <w:lang w:val="en-US" w:eastAsia="zh-CN"/>
              </w:rPr>
              <w:t>土方装车</w:t>
            </w:r>
          </w:p>
          <w:p w14:paraId="289C3DF4">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2、挖土深度：5m以内</w:t>
            </w:r>
          </w:p>
        </w:tc>
        <w:tc>
          <w:tcPr>
            <w:tcW w:w="750" w:type="dxa"/>
            <w:shd w:val="clear" w:color="auto" w:fill="auto"/>
            <w:noWrap w:val="0"/>
            <w:vAlign w:val="center"/>
          </w:tcPr>
          <w:p w14:paraId="24713554">
            <w:pPr>
              <w:keepNext w:val="0"/>
              <w:keepLines w:val="0"/>
              <w:widowControl/>
              <w:suppressLineNumbers w:val="0"/>
              <w:jc w:val="center"/>
              <w:textAlignment w:val="center"/>
              <w:rPr>
                <w:rFonts w:hint="eastAsia"/>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8" w:type="dxa"/>
            <w:shd w:val="clear" w:color="auto" w:fill="auto"/>
            <w:noWrap w:val="0"/>
            <w:vAlign w:val="center"/>
          </w:tcPr>
          <w:p w14:paraId="6C327E58">
            <w:pPr>
              <w:jc w:val="center"/>
              <w:rPr>
                <w:rFonts w:hint="eastAsia" w:eastAsia="宋体"/>
                <w:sz w:val="24"/>
                <w:szCs w:val="24"/>
                <w:lang w:val="en-US" w:eastAsia="zh-CN"/>
              </w:rPr>
            </w:pPr>
            <w:r>
              <w:rPr>
                <w:rFonts w:hint="eastAsia" w:eastAsia="宋体"/>
                <w:sz w:val="24"/>
                <w:szCs w:val="24"/>
                <w:lang w:val="en-US" w:eastAsia="zh-CN"/>
              </w:rPr>
              <w:t>1000</w:t>
            </w:r>
          </w:p>
        </w:tc>
        <w:tc>
          <w:tcPr>
            <w:tcW w:w="1712" w:type="dxa"/>
            <w:shd w:val="clear" w:color="auto" w:fill="auto"/>
            <w:noWrap w:val="0"/>
            <w:vAlign w:val="center"/>
          </w:tcPr>
          <w:p w14:paraId="7109AA41">
            <w:pPr>
              <w:jc w:val="center"/>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5.5元/m</w:t>
            </w:r>
            <w:r>
              <w:rPr>
                <w:rFonts w:hint="eastAsia" w:eastAsia="宋体" w:cs="Times New Roman"/>
                <w:kern w:val="2"/>
                <w:sz w:val="24"/>
                <w:szCs w:val="24"/>
                <w:vertAlign w:val="superscript"/>
                <w:lang w:val="en-US" w:eastAsia="zh-CN" w:bidi="ar-SA"/>
              </w:rPr>
              <w:t>3</w:t>
            </w:r>
          </w:p>
        </w:tc>
        <w:tc>
          <w:tcPr>
            <w:tcW w:w="1500" w:type="dxa"/>
            <w:noWrap w:val="0"/>
            <w:vAlign w:val="center"/>
          </w:tcPr>
          <w:p w14:paraId="3DA4A3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0AB2E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3D5A3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ACF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50A53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66" w:type="dxa"/>
            <w:shd w:val="clear" w:color="auto" w:fill="auto"/>
            <w:noWrap w:val="0"/>
            <w:vAlign w:val="center"/>
          </w:tcPr>
          <w:p w14:paraId="724291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挖掘机及压路机</w:t>
            </w:r>
          </w:p>
        </w:tc>
        <w:tc>
          <w:tcPr>
            <w:tcW w:w="1270" w:type="dxa"/>
            <w:shd w:val="clear" w:color="auto" w:fill="auto"/>
            <w:noWrap w:val="0"/>
            <w:vAlign w:val="center"/>
          </w:tcPr>
          <w:p w14:paraId="5E6A555B">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330" w:type="dxa"/>
            <w:shd w:val="clear" w:color="auto" w:fill="auto"/>
            <w:noWrap w:val="0"/>
            <w:vAlign w:val="center"/>
          </w:tcPr>
          <w:p w14:paraId="1F408B89">
            <w:pPr>
              <w:numPr>
                <w:ilvl w:val="0"/>
                <w:numId w:val="0"/>
              </w:numPr>
              <w:ind w:left="0" w:leftChars="0" w:firstLine="0" w:firstLineChars="0"/>
              <w:jc w:val="left"/>
              <w:rPr>
                <w:rFonts w:hint="eastAsia" w:ascii="Calibri" w:hAnsi="Calibri" w:eastAsia="宋体" w:cs="Times New Roman"/>
                <w:kern w:val="2"/>
                <w:sz w:val="21"/>
                <w:szCs w:val="21"/>
                <w:lang w:val="en-US" w:eastAsia="zh-CN" w:bidi="ar-SA"/>
              </w:rPr>
            </w:pPr>
            <w:r>
              <w:rPr>
                <w:rFonts w:hint="eastAsia"/>
                <w:sz w:val="20"/>
                <w:szCs w:val="20"/>
                <w:lang w:val="en-US" w:eastAsia="zh-CN"/>
              </w:rPr>
              <w:t>1、土方回填，压实度满足设计</w:t>
            </w:r>
          </w:p>
        </w:tc>
        <w:tc>
          <w:tcPr>
            <w:tcW w:w="750" w:type="dxa"/>
            <w:shd w:val="clear" w:color="auto" w:fill="auto"/>
            <w:noWrap w:val="0"/>
            <w:vAlign w:val="center"/>
          </w:tcPr>
          <w:p w14:paraId="42B3A6C5">
            <w:pPr>
              <w:keepNext w:val="0"/>
              <w:keepLines w:val="0"/>
              <w:widowControl/>
              <w:suppressLineNumbers w:val="0"/>
              <w:jc w:val="center"/>
              <w:textAlignment w:val="center"/>
              <w:rPr>
                <w:rFonts w:hint="eastAsia"/>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8" w:type="dxa"/>
            <w:shd w:val="clear" w:color="auto" w:fill="auto"/>
            <w:noWrap w:val="0"/>
            <w:vAlign w:val="center"/>
          </w:tcPr>
          <w:p w14:paraId="7E85725A">
            <w:pPr>
              <w:jc w:val="center"/>
              <w:rPr>
                <w:rFonts w:hint="eastAsia" w:eastAsia="宋体"/>
                <w:sz w:val="24"/>
                <w:szCs w:val="24"/>
                <w:lang w:val="en-US" w:eastAsia="zh-CN"/>
              </w:rPr>
            </w:pPr>
            <w:r>
              <w:rPr>
                <w:rFonts w:hint="eastAsia" w:eastAsia="宋体"/>
                <w:sz w:val="24"/>
                <w:szCs w:val="24"/>
                <w:lang w:val="en-US" w:eastAsia="zh-CN"/>
              </w:rPr>
              <w:t>200</w:t>
            </w:r>
          </w:p>
        </w:tc>
        <w:tc>
          <w:tcPr>
            <w:tcW w:w="1712" w:type="dxa"/>
            <w:shd w:val="clear" w:color="auto" w:fill="auto"/>
            <w:noWrap w:val="0"/>
            <w:vAlign w:val="center"/>
          </w:tcPr>
          <w:p w14:paraId="7DC4FD82">
            <w:pPr>
              <w:jc w:val="center"/>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6元/m</w:t>
            </w:r>
            <w:r>
              <w:rPr>
                <w:rFonts w:hint="eastAsia" w:eastAsia="宋体" w:cs="Times New Roman"/>
                <w:kern w:val="2"/>
                <w:sz w:val="24"/>
                <w:szCs w:val="24"/>
                <w:vertAlign w:val="superscript"/>
                <w:lang w:val="en-US" w:eastAsia="zh-CN" w:bidi="ar-SA"/>
              </w:rPr>
              <w:t>3</w:t>
            </w:r>
          </w:p>
        </w:tc>
        <w:tc>
          <w:tcPr>
            <w:tcW w:w="1500" w:type="dxa"/>
            <w:noWrap w:val="0"/>
            <w:vAlign w:val="center"/>
          </w:tcPr>
          <w:p w14:paraId="4F273E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674BF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992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9A3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20D8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66" w:type="dxa"/>
            <w:shd w:val="clear" w:color="auto" w:fill="auto"/>
            <w:noWrap w:val="0"/>
            <w:vAlign w:val="center"/>
          </w:tcPr>
          <w:p w14:paraId="0AC88B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1270" w:type="dxa"/>
            <w:shd w:val="clear" w:color="auto" w:fill="auto"/>
            <w:noWrap w:val="0"/>
            <w:vAlign w:val="center"/>
          </w:tcPr>
          <w:p w14:paraId="241E157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综合</w:t>
            </w:r>
          </w:p>
        </w:tc>
        <w:tc>
          <w:tcPr>
            <w:tcW w:w="3330" w:type="dxa"/>
            <w:shd w:val="clear" w:color="auto" w:fill="auto"/>
            <w:noWrap w:val="0"/>
            <w:vAlign w:val="center"/>
          </w:tcPr>
          <w:p w14:paraId="6F11E59F">
            <w:pPr>
              <w:numPr>
                <w:ilvl w:val="0"/>
                <w:numId w:val="0"/>
              </w:numPr>
              <w:ind w:leftChars="0"/>
              <w:jc w:val="left"/>
              <w:rPr>
                <w:rFonts w:hint="eastAsia"/>
                <w:kern w:val="2"/>
                <w:sz w:val="20"/>
                <w:szCs w:val="20"/>
                <w:lang w:val="en-US" w:eastAsia="zh-CN" w:bidi="ar-SA"/>
              </w:rPr>
            </w:pPr>
            <w:r>
              <w:rPr>
                <w:rFonts w:hint="eastAsia"/>
                <w:kern w:val="2"/>
                <w:sz w:val="20"/>
                <w:szCs w:val="20"/>
                <w:lang w:val="en-US" w:eastAsia="zh-CN" w:bidi="ar-SA"/>
              </w:rPr>
              <w:t>1、土方厂外运输</w:t>
            </w:r>
          </w:p>
          <w:p w14:paraId="73EDF015">
            <w:pPr>
              <w:numPr>
                <w:ilvl w:val="0"/>
                <w:numId w:val="0"/>
              </w:numPr>
              <w:ind w:left="0" w:leftChars="0" w:firstLine="0" w:firstLineChars="0"/>
              <w:jc w:val="left"/>
              <w:rPr>
                <w:rFonts w:hint="eastAsia" w:ascii="Calibri" w:hAnsi="Calibri" w:eastAsia="宋体" w:cs="Times New Roman"/>
                <w:kern w:val="2"/>
                <w:sz w:val="21"/>
                <w:szCs w:val="21"/>
                <w:lang w:val="en-US" w:eastAsia="zh-CN" w:bidi="ar-SA"/>
              </w:rPr>
            </w:pPr>
            <w:r>
              <w:rPr>
                <w:rFonts w:hint="eastAsia"/>
                <w:kern w:val="2"/>
                <w:sz w:val="20"/>
                <w:szCs w:val="20"/>
                <w:lang w:val="en-US" w:eastAsia="zh-CN" w:bidi="ar-SA"/>
              </w:rPr>
              <w:t>2、运距自定，倒土点自理</w:t>
            </w:r>
          </w:p>
        </w:tc>
        <w:tc>
          <w:tcPr>
            <w:tcW w:w="750" w:type="dxa"/>
            <w:shd w:val="clear" w:color="auto" w:fill="auto"/>
            <w:noWrap w:val="0"/>
            <w:vAlign w:val="center"/>
          </w:tcPr>
          <w:p w14:paraId="647796A2">
            <w:pPr>
              <w:keepNext w:val="0"/>
              <w:keepLines w:val="0"/>
              <w:widowControl/>
              <w:suppressLineNumbers w:val="0"/>
              <w:jc w:val="center"/>
              <w:textAlignment w:val="center"/>
              <w:rPr>
                <w:rFonts w:hint="eastAsia"/>
                <w:sz w:val="24"/>
                <w:szCs w:val="24"/>
                <w:lang w:val="en-US" w:eastAsia="zh-CN"/>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868" w:type="dxa"/>
            <w:shd w:val="clear" w:color="auto" w:fill="auto"/>
            <w:noWrap w:val="0"/>
            <w:vAlign w:val="center"/>
          </w:tcPr>
          <w:p w14:paraId="1CFF8517">
            <w:pPr>
              <w:jc w:val="center"/>
              <w:rPr>
                <w:rFonts w:hint="eastAsia" w:eastAsia="宋体"/>
                <w:sz w:val="24"/>
                <w:szCs w:val="24"/>
                <w:lang w:val="en-US" w:eastAsia="zh-CN"/>
              </w:rPr>
            </w:pPr>
            <w:r>
              <w:rPr>
                <w:rFonts w:hint="eastAsia" w:eastAsia="宋体"/>
                <w:sz w:val="24"/>
                <w:szCs w:val="24"/>
                <w:lang w:val="en-US" w:eastAsia="zh-CN"/>
              </w:rPr>
              <w:t>1000</w:t>
            </w:r>
          </w:p>
        </w:tc>
        <w:tc>
          <w:tcPr>
            <w:tcW w:w="1712" w:type="dxa"/>
            <w:shd w:val="clear" w:color="auto" w:fill="auto"/>
            <w:noWrap w:val="0"/>
            <w:vAlign w:val="center"/>
          </w:tcPr>
          <w:p w14:paraId="10393D23">
            <w:pPr>
              <w:jc w:val="center"/>
              <w:rPr>
                <w:rFonts w:hint="eastAsia" w:eastAsia="宋体" w:cs="Times New Roman"/>
                <w:kern w:val="2"/>
                <w:sz w:val="24"/>
                <w:szCs w:val="24"/>
                <w:lang w:val="en-US" w:eastAsia="zh-CN" w:bidi="ar-SA"/>
              </w:rPr>
            </w:pPr>
            <w:r>
              <w:rPr>
                <w:rFonts w:hint="eastAsia" w:eastAsia="宋体" w:cs="Times New Roman"/>
                <w:kern w:val="2"/>
                <w:sz w:val="24"/>
                <w:szCs w:val="24"/>
                <w:lang w:val="en-US" w:eastAsia="zh-CN" w:bidi="ar-SA"/>
              </w:rPr>
              <w:t>32元/m</w:t>
            </w:r>
            <w:r>
              <w:rPr>
                <w:rFonts w:hint="eastAsia" w:eastAsia="宋体" w:cs="Times New Roman"/>
                <w:kern w:val="2"/>
                <w:sz w:val="24"/>
                <w:szCs w:val="24"/>
                <w:vertAlign w:val="superscript"/>
                <w:lang w:val="en-US" w:eastAsia="zh-CN" w:bidi="ar-SA"/>
              </w:rPr>
              <w:t>3</w:t>
            </w:r>
          </w:p>
        </w:tc>
        <w:tc>
          <w:tcPr>
            <w:tcW w:w="1500" w:type="dxa"/>
            <w:noWrap w:val="0"/>
            <w:vAlign w:val="center"/>
          </w:tcPr>
          <w:p w14:paraId="1E9606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5E097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DA6CE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F8A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2" w:type="dxa"/>
            <w:noWrap w:val="0"/>
            <w:vAlign w:val="center"/>
          </w:tcPr>
          <w:p w14:paraId="4D0DD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66" w:type="dxa"/>
            <w:shd w:val="clear" w:color="auto" w:fill="auto"/>
            <w:noWrap w:val="0"/>
            <w:vAlign w:val="center"/>
          </w:tcPr>
          <w:p w14:paraId="690FC6E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color w:val="000000"/>
                <w:sz w:val="22"/>
                <w:szCs w:val="22"/>
              </w:rPr>
              <w:t>挖掘机</w:t>
            </w:r>
          </w:p>
        </w:tc>
        <w:tc>
          <w:tcPr>
            <w:tcW w:w="1270" w:type="dxa"/>
            <w:shd w:val="clear" w:color="auto" w:fill="auto"/>
            <w:noWrap w:val="0"/>
            <w:vAlign w:val="center"/>
          </w:tcPr>
          <w:p w14:paraId="2DB202D1">
            <w:pPr>
              <w:keepNext w:val="0"/>
              <w:keepLines w:val="0"/>
              <w:widowControl/>
              <w:suppressLineNumbers w:val="0"/>
              <w:jc w:val="center"/>
              <w:textAlignment w:val="center"/>
              <w:rPr>
                <w:rFonts w:hint="eastAsia" w:ascii="Calibri" w:hAnsi="Calibri" w:eastAsia="宋体" w:cs="Times New Roman"/>
                <w:kern w:val="2"/>
                <w:sz w:val="21"/>
                <w:szCs w:val="21"/>
                <w:lang w:val="en-US" w:eastAsia="zh-CN" w:bidi="ar-SA"/>
              </w:rPr>
            </w:pPr>
            <w:r>
              <w:rPr>
                <w:rFonts w:hint="eastAsia" w:ascii="宋体" w:hAnsi="宋体" w:eastAsia="宋体" w:cs="宋体"/>
                <w:color w:val="000000"/>
                <w:kern w:val="0"/>
                <w:sz w:val="20"/>
                <w:szCs w:val="20"/>
                <w:lang w:bidi="ar"/>
              </w:rPr>
              <w:t>90型及以下</w:t>
            </w:r>
          </w:p>
        </w:tc>
        <w:tc>
          <w:tcPr>
            <w:tcW w:w="3330" w:type="dxa"/>
            <w:shd w:val="clear" w:color="auto" w:fill="auto"/>
            <w:noWrap w:val="0"/>
            <w:vAlign w:val="center"/>
          </w:tcPr>
          <w:p w14:paraId="17994DDD">
            <w:pPr>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kern w:val="2"/>
                <w:sz w:val="20"/>
                <w:szCs w:val="20"/>
                <w:lang w:val="en-US" w:eastAsia="zh-CN" w:bidi="ar-SA"/>
              </w:rPr>
              <w:t>现场零星施工</w:t>
            </w:r>
          </w:p>
        </w:tc>
        <w:tc>
          <w:tcPr>
            <w:tcW w:w="750" w:type="dxa"/>
            <w:shd w:val="clear" w:color="auto" w:fill="auto"/>
            <w:noWrap w:val="0"/>
            <w:vAlign w:val="center"/>
          </w:tcPr>
          <w:p w14:paraId="6B632319">
            <w:pPr>
              <w:keepNext w:val="0"/>
              <w:keepLines w:val="0"/>
              <w:widowControl/>
              <w:suppressLineNumbers w:val="0"/>
              <w:jc w:val="center"/>
              <w:textAlignment w:val="center"/>
              <w:rPr>
                <w:rFonts w:hint="eastAsia"/>
                <w:sz w:val="24"/>
                <w:szCs w:val="24"/>
                <w:lang w:val="en-US" w:eastAsia="zh-CN"/>
              </w:rPr>
            </w:pPr>
            <w:r>
              <w:rPr>
                <w:rFonts w:hint="eastAsia"/>
                <w:sz w:val="24"/>
                <w:szCs w:val="24"/>
                <w:lang w:val="en-US" w:eastAsia="zh-CN"/>
              </w:rPr>
              <w:t>台班</w:t>
            </w:r>
          </w:p>
        </w:tc>
        <w:tc>
          <w:tcPr>
            <w:tcW w:w="868" w:type="dxa"/>
            <w:shd w:val="clear" w:color="auto" w:fill="auto"/>
            <w:noWrap w:val="0"/>
            <w:vAlign w:val="center"/>
          </w:tcPr>
          <w:p w14:paraId="7ACACEDA">
            <w:pPr>
              <w:jc w:val="center"/>
              <w:rPr>
                <w:rFonts w:hint="eastAsia" w:eastAsia="宋体"/>
                <w:sz w:val="24"/>
                <w:szCs w:val="24"/>
                <w:lang w:val="en-US" w:eastAsia="zh-CN"/>
              </w:rPr>
            </w:pPr>
            <w:r>
              <w:rPr>
                <w:rFonts w:hint="eastAsia" w:eastAsia="宋体"/>
                <w:sz w:val="24"/>
                <w:szCs w:val="24"/>
                <w:lang w:val="en-US" w:eastAsia="zh-CN"/>
              </w:rPr>
              <w:t>20</w:t>
            </w:r>
          </w:p>
        </w:tc>
        <w:tc>
          <w:tcPr>
            <w:tcW w:w="1712" w:type="dxa"/>
            <w:shd w:val="clear" w:color="auto" w:fill="auto"/>
            <w:noWrap w:val="0"/>
            <w:vAlign w:val="center"/>
          </w:tcPr>
          <w:p w14:paraId="042572C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eastAsia="宋体" w:cs="Times New Roman"/>
                <w:kern w:val="2"/>
                <w:sz w:val="24"/>
                <w:szCs w:val="24"/>
                <w:lang w:val="en-US" w:eastAsia="zh-CN" w:bidi="ar-SA"/>
              </w:rPr>
              <w:t>120</w:t>
            </w:r>
            <w:r>
              <w:rPr>
                <w:rFonts w:hint="eastAsia" w:ascii="Times New Roman" w:hAnsi="Times New Roman" w:eastAsia="宋体" w:cs="Times New Roman"/>
                <w:i w:val="0"/>
                <w:iCs w:val="0"/>
                <w:color w:val="000000"/>
                <w:kern w:val="0"/>
                <w:sz w:val="22"/>
                <w:szCs w:val="22"/>
                <w:u w:val="none"/>
                <w:lang w:val="en-US" w:eastAsia="zh-CN" w:bidi="ar"/>
              </w:rPr>
              <w:t>元/小时</w:t>
            </w:r>
          </w:p>
        </w:tc>
        <w:tc>
          <w:tcPr>
            <w:tcW w:w="1500" w:type="dxa"/>
            <w:noWrap w:val="0"/>
            <w:vAlign w:val="center"/>
          </w:tcPr>
          <w:p w14:paraId="193C32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4A8B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83DA8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318"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80"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60700.00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41053C8D">
      <w:pPr>
        <w:spacing w:line="240" w:lineRule="auto"/>
        <w:rPr>
          <w:rFonts w:hint="eastAsia" w:ascii="仿宋" w:hAnsi="仿宋" w:eastAsia="仿宋" w:cs="仿宋"/>
          <w:sz w:val="22"/>
          <w:szCs w:val="22"/>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spacing w:line="240" w:lineRule="auto"/>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355" w:right="1417" w:bottom="1225"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9E7B86"/>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1E8457A5"/>
    <w:rsid w:val="20191E9C"/>
    <w:rsid w:val="2037683E"/>
    <w:rsid w:val="20F57ADE"/>
    <w:rsid w:val="20FD4E55"/>
    <w:rsid w:val="21A61547"/>
    <w:rsid w:val="225C0752"/>
    <w:rsid w:val="23FC26F5"/>
    <w:rsid w:val="246E6DF4"/>
    <w:rsid w:val="24F240EB"/>
    <w:rsid w:val="25590EC9"/>
    <w:rsid w:val="25F7787F"/>
    <w:rsid w:val="25F84E2C"/>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931C24"/>
    <w:rsid w:val="45EF7078"/>
    <w:rsid w:val="46045E94"/>
    <w:rsid w:val="465E02D2"/>
    <w:rsid w:val="466979AB"/>
    <w:rsid w:val="471400CF"/>
    <w:rsid w:val="47944AB8"/>
    <w:rsid w:val="48403C0E"/>
    <w:rsid w:val="48BF72F3"/>
    <w:rsid w:val="490E63A6"/>
    <w:rsid w:val="499C3073"/>
    <w:rsid w:val="499D4ACB"/>
    <w:rsid w:val="49EC0EA9"/>
    <w:rsid w:val="4A1C7E79"/>
    <w:rsid w:val="4B7122DD"/>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192609"/>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9345DE"/>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4B7DB5"/>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0AF7EC6"/>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8966CA"/>
    <w:rsid w:val="7ECE2AEB"/>
    <w:rsid w:val="7ECE3A16"/>
    <w:rsid w:val="7EF46BE9"/>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3704</Words>
  <Characters>4066</Characters>
  <Lines>56</Lines>
  <Paragraphs>15</Paragraphs>
  <TotalTime>2</TotalTime>
  <ScaleCrop>false</ScaleCrop>
  <LinksUpToDate>false</LinksUpToDate>
  <CharactersWithSpaces>4349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2025-11-21T06:30:51Z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F19D08C2DD054226A70AD001185DAF6A</vt:lpwstr>
  </property>
  <property fmtid="{D5CDD505-2E9C-101B-9397-08002B2CF9AE}" pid="4" name="KSOTemplateDocerSaveRecord">
    <vt:lpwstr>eyJoZGlkIjoiZmI2YTk0YWE0ZWU0NDNiZjYzZDM0NzAwOGVhNTExYmUiLCJ1c2VySWQiOiIxMjU1NjY1MTk1In0=</vt:lpwstr>
  </property>
</Properties>
</file>