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A9DE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6E1D54C1">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D8F809E">
      <w:pPr>
        <w:pStyle w:val="55"/>
        <w:shd w:val="clear"/>
        <w:ind w:left="0" w:leftChars="0" w:firstLine="0" w:firstLineChars="0"/>
        <w:jc w:val="center"/>
        <w:rPr>
          <w:rFonts w:hint="eastAsia" w:ascii="宋体" w:hAnsi="宋体" w:eastAsia="宋体" w:cs="宋体"/>
          <w:b/>
          <w:bCs/>
          <w:color w:val="auto"/>
          <w:kern w:val="1"/>
          <w:sz w:val="40"/>
          <w:szCs w:val="40"/>
          <w:highlight w:val="none"/>
          <w:lang w:val="en-US" w:eastAsia="zh-CN"/>
        </w:rPr>
      </w:pPr>
      <w:r>
        <w:rPr>
          <w:rFonts w:hint="eastAsia" w:ascii="宋体" w:hAnsi="宋体" w:eastAsia="宋体" w:cs="宋体"/>
          <w:b/>
          <w:bCs/>
          <w:color w:val="auto"/>
          <w:kern w:val="1"/>
          <w:sz w:val="40"/>
          <w:szCs w:val="40"/>
          <w:highlight w:val="none"/>
          <w:lang w:val="en-US" w:eastAsia="zh-CN"/>
        </w:rPr>
        <w:t>202</w:t>
      </w:r>
      <w:r>
        <w:rPr>
          <w:rFonts w:hint="eastAsia" w:ascii="宋体" w:hAnsi="宋体" w:cs="宋体"/>
          <w:b/>
          <w:bCs/>
          <w:color w:val="auto"/>
          <w:kern w:val="1"/>
          <w:sz w:val="40"/>
          <w:szCs w:val="40"/>
          <w:highlight w:val="none"/>
          <w:lang w:val="en-US" w:eastAsia="zh-CN"/>
        </w:rPr>
        <w:t>6</w:t>
      </w:r>
      <w:r>
        <w:rPr>
          <w:rFonts w:hint="eastAsia" w:ascii="宋体" w:hAnsi="宋体" w:eastAsia="宋体" w:cs="宋体"/>
          <w:b/>
          <w:bCs/>
          <w:color w:val="auto"/>
          <w:kern w:val="1"/>
          <w:sz w:val="40"/>
          <w:szCs w:val="40"/>
          <w:highlight w:val="none"/>
          <w:lang w:val="en-US" w:eastAsia="zh-CN"/>
        </w:rPr>
        <w:t>年度矿山充填胶凝材料运输业务</w:t>
      </w:r>
    </w:p>
    <w:p w14:paraId="373107E6">
      <w:pPr>
        <w:pStyle w:val="55"/>
        <w:shd w:val="clear"/>
        <w:ind w:left="0" w:leftChars="0" w:firstLine="0" w:firstLineChars="0"/>
        <w:jc w:val="center"/>
        <w:rPr>
          <w:rFonts w:hint="eastAsia" w:ascii="宋体" w:hAnsi="宋体" w:eastAsia="宋体" w:cs="宋体"/>
          <w:b/>
          <w:bCs/>
          <w:color w:val="auto"/>
          <w:kern w:val="1"/>
          <w:sz w:val="40"/>
          <w:szCs w:val="40"/>
          <w:highlight w:val="none"/>
          <w:lang w:val="en-US" w:eastAsia="zh-CN"/>
        </w:rPr>
      </w:pPr>
      <w:r>
        <w:rPr>
          <w:rFonts w:hint="eastAsia" w:asciiTheme="minorEastAsia" w:hAnsiTheme="minorEastAsia" w:eastAsiaTheme="minorEastAsia" w:cstheme="minorEastAsia"/>
          <w:b w:val="0"/>
          <w:bCs w:val="0"/>
          <w:color w:val="FF0000"/>
          <w:kern w:val="2"/>
          <w:sz w:val="36"/>
          <w:szCs w:val="36"/>
          <w:lang w:val="en-US" w:eastAsia="zh-CN" w:bidi="ar-SA"/>
        </w:rPr>
        <w:t>（二次询比采购）</w:t>
      </w:r>
    </w:p>
    <w:p w14:paraId="54922764">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2BCFB90">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00B8293B">
      <w:pPr>
        <w:pStyle w:val="55"/>
        <w:rPr>
          <w:color w:val="auto"/>
          <w:highlight w:val="none"/>
        </w:rPr>
      </w:pPr>
    </w:p>
    <w:p w14:paraId="3386C053">
      <w:pPr>
        <w:rPr>
          <w:rFonts w:hint="default" w:asciiTheme="minorEastAsia" w:hAnsiTheme="minorEastAsia" w:eastAsiaTheme="minorEastAsia" w:cstheme="minorEastAsia"/>
          <w:b/>
          <w:bCs/>
          <w:color w:val="FF0000"/>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TGJA-JX-2025-</w:t>
      </w:r>
      <w:r>
        <w:rPr>
          <w:rFonts w:hint="eastAsia" w:asciiTheme="minorEastAsia" w:hAnsiTheme="minorEastAsia" w:eastAsiaTheme="minorEastAsia" w:cstheme="minorEastAsia"/>
          <w:b/>
          <w:bCs/>
          <w:color w:val="FF0000"/>
          <w:sz w:val="28"/>
          <w:szCs w:val="28"/>
          <w:highlight w:val="none"/>
          <w:u w:val="single"/>
        </w:rPr>
        <w:t>0</w:t>
      </w:r>
      <w:r>
        <w:rPr>
          <w:rFonts w:hint="eastAsia" w:asciiTheme="minorEastAsia" w:hAnsiTheme="minorEastAsia" w:eastAsiaTheme="minorEastAsia" w:cstheme="minorEastAsia"/>
          <w:b/>
          <w:bCs/>
          <w:color w:val="FF0000"/>
          <w:sz w:val="28"/>
          <w:szCs w:val="28"/>
          <w:highlight w:val="none"/>
          <w:u w:val="single"/>
          <w:lang w:val="en-US" w:eastAsia="zh-CN"/>
        </w:rPr>
        <w:t>55-2</w:t>
      </w:r>
    </w:p>
    <w:p w14:paraId="32EE43C4">
      <w:pPr>
        <w:pStyle w:val="55"/>
        <w:rPr>
          <w:rFonts w:hint="eastAsia"/>
          <w:color w:val="auto"/>
          <w:sz w:val="28"/>
          <w:szCs w:val="28"/>
          <w:highlight w:val="none"/>
          <w:lang w:val="en-US" w:eastAsia="zh-CN"/>
        </w:rPr>
      </w:pPr>
      <w:bookmarkStart w:id="4" w:name="_GoBack"/>
      <w:bookmarkEnd w:id="4"/>
    </w:p>
    <w:p w14:paraId="4934B58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铜陵铜冠建安新型环保建材科技有限公司</w:t>
      </w:r>
      <w:r>
        <w:rPr>
          <w:rFonts w:hint="eastAsia" w:asciiTheme="minorEastAsia" w:hAnsiTheme="minorEastAsia" w:eastAsiaTheme="minorEastAsia" w:cstheme="minorEastAsia"/>
          <w:b/>
          <w:bCs/>
          <w:color w:val="auto"/>
          <w:sz w:val="28"/>
          <w:szCs w:val="28"/>
          <w:highlight w:val="none"/>
        </w:rPr>
        <w:t>（盖章）</w:t>
      </w:r>
    </w:p>
    <w:p w14:paraId="158ADC50">
      <w:pPr>
        <w:pStyle w:val="55"/>
        <w:rPr>
          <w:color w:val="auto"/>
          <w:sz w:val="28"/>
          <w:szCs w:val="28"/>
          <w:highlight w:val="none"/>
        </w:rPr>
      </w:pPr>
    </w:p>
    <w:p w14:paraId="2F4F2016">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133E430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31CAD424">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0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铜陵铜冠建安新型环保建材科技有限公司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2026年度矿山充填胶凝材料运输业务</w:t>
      </w:r>
      <w:r>
        <w:rPr>
          <w:rFonts w:hint="eastAsia" w:ascii="仿宋" w:hAnsi="仿宋" w:eastAsia="仿宋" w:cs="仿宋"/>
          <w:color w:val="auto"/>
          <w:sz w:val="24"/>
          <w:szCs w:val="24"/>
          <w:highlight w:val="none"/>
          <w:shd w:val="clear"/>
        </w:rPr>
        <w:t>询比采购</w:t>
      </w:r>
      <w:r>
        <w:rPr>
          <w:rFonts w:hint="eastAsia" w:ascii="仿宋" w:hAnsi="仿宋" w:eastAsia="仿宋" w:cs="仿宋"/>
          <w:b w:val="0"/>
          <w:bCs w:val="0"/>
          <w:color w:val="FF0000"/>
          <w:kern w:val="1"/>
          <w:sz w:val="24"/>
          <w:szCs w:val="24"/>
          <w:lang w:val="en-US" w:eastAsia="zh-CN"/>
        </w:rPr>
        <w:t>（二次询比采购</w:t>
      </w:r>
      <w:r>
        <w:rPr>
          <w:rFonts w:hint="eastAsia" w:ascii="仿宋" w:hAnsi="仿宋" w:eastAsia="仿宋" w:cs="仿宋"/>
          <w:b w:val="0"/>
          <w:bCs w:val="0"/>
          <w:kern w:val="1"/>
          <w:sz w:val="24"/>
          <w:szCs w:val="24"/>
          <w:lang w:val="en-US" w:eastAsia="zh-CN"/>
        </w:rPr>
        <w:t>）</w:t>
      </w:r>
      <w:r>
        <w:rPr>
          <w:rFonts w:hint="eastAsia" w:ascii="仿宋" w:hAnsi="仿宋" w:eastAsia="仿宋" w:cs="仿宋"/>
          <w:color w:val="auto"/>
          <w:sz w:val="24"/>
          <w:szCs w:val="24"/>
          <w:highlight w:val="none"/>
          <w:shd w:val="clear"/>
        </w:rPr>
        <w:t>。 </w:t>
      </w:r>
    </w:p>
    <w:p w14:paraId="7B64F38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0B9F1475">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highlight w:val="none"/>
          <w:lang w:val="en-US" w:eastAsia="zh-CN"/>
        </w:rPr>
        <w:t>3、</w:t>
      </w:r>
      <w:r>
        <w:rPr>
          <w:rFonts w:hint="eastAsia" w:ascii="仿宋" w:hAnsi="仿宋" w:eastAsia="仿宋" w:cs="仿宋"/>
          <w:b w:val="0"/>
          <w:bCs w:val="0"/>
          <w:color w:val="auto"/>
          <w:highlight w:val="none"/>
          <w:lang w:val="en-US" w:eastAsia="zh-CN"/>
        </w:rPr>
        <w:t>本次参与邀请竞价的单位，须在铜陵铜冠建安新型环保建材科技有限公司通过</w:t>
      </w:r>
      <w:r>
        <w:rPr>
          <w:rFonts w:hint="eastAsia" w:ascii="仿宋" w:hAnsi="仿宋" w:eastAsia="仿宋" w:cs="仿宋"/>
          <w:b/>
          <w:bCs/>
          <w:color w:val="auto"/>
          <w:highlight w:val="none"/>
          <w:lang w:val="en-US" w:eastAsia="zh-CN"/>
        </w:rPr>
        <w:t>鑫铜监理公司招标的运输合格供应商目录内（目前共5家单位）</w:t>
      </w:r>
      <w:r>
        <w:rPr>
          <w:rFonts w:hint="eastAsia" w:ascii="仿宋" w:hAnsi="仿宋" w:eastAsia="仿宋" w:cs="仿宋"/>
          <w:b w:val="0"/>
          <w:bCs w:val="0"/>
          <w:color w:val="auto"/>
          <w:highlight w:val="none"/>
          <w:lang w:val="en-US" w:eastAsia="zh-CN"/>
        </w:rPr>
        <w:t>。</w:t>
      </w:r>
    </w:p>
    <w:p w14:paraId="2F2EF43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03F62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p>
    <w:p w14:paraId="147D4B20">
      <w:pPr>
        <w:keepNext w:val="0"/>
        <w:keepLines w:val="0"/>
        <w:pageBreakBefore w:val="0"/>
        <w:numPr>
          <w:ilvl w:val="0"/>
          <w:numId w:val="0"/>
        </w:numPr>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81C7DD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01F0F1B2">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rPr>
        <w:t>日</w:t>
      </w:r>
    </w:p>
    <w:p w14:paraId="4AA0FD0B">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8F0550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277A6B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p>
    <w:p w14:paraId="4D7F403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5934A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highlight w:val="none"/>
        </w:rPr>
      </w:pPr>
    </w:p>
    <w:p w14:paraId="7359411E">
      <w:pPr>
        <w:pStyle w:val="55"/>
        <w:keepNext w:val="0"/>
        <w:keepLines w:val="0"/>
        <w:pageBreakBefore w:val="0"/>
        <w:kinsoku/>
        <w:wordWrap/>
        <w:overflowPunct/>
        <w:topLinePunct w:val="0"/>
        <w:autoSpaceDE/>
        <w:autoSpaceDN/>
        <w:bidi w:val="0"/>
        <w:adjustRightInd/>
        <w:snapToGrid/>
        <w:spacing w:line="40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highlight w:val="none"/>
          <w:u w:val="single"/>
          <w:lang w:val="en-US" w:eastAsia="zh-CN"/>
        </w:rPr>
        <w:t>2026年度矿山充填胶凝材料运输业务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b w:val="0"/>
          <w:bCs w:val="0"/>
          <w:color w:val="FF0000"/>
          <w:kern w:val="1"/>
          <w:sz w:val="24"/>
          <w:szCs w:val="24"/>
          <w:u w:val="single"/>
          <w:lang w:val="en-US" w:eastAsia="zh-CN"/>
        </w:rPr>
        <w:t>（二次询比采购</w:t>
      </w:r>
      <w:r>
        <w:rPr>
          <w:rFonts w:hint="eastAsia" w:ascii="仿宋" w:hAnsi="仿宋" w:eastAsia="仿宋" w:cs="仿宋"/>
          <w:b w:val="0"/>
          <w:bCs w:val="0"/>
          <w:kern w:val="1"/>
          <w:sz w:val="24"/>
          <w:szCs w:val="24"/>
          <w:u w:val="single"/>
          <w:lang w:val="en-US" w:eastAsia="zh-CN"/>
        </w:rPr>
        <w:t>）</w:t>
      </w:r>
      <w:r>
        <w:rPr>
          <w:rFonts w:hint="eastAsia" w:ascii="仿宋" w:hAnsi="仿宋" w:eastAsia="仿宋" w:cs="仿宋"/>
          <w:color w:val="auto"/>
          <w:sz w:val="24"/>
          <w:szCs w:val="24"/>
          <w:highlight w:val="none"/>
          <w:u w:val="single"/>
          <w:lang w:val="en-US" w:eastAsia="zh-CN"/>
        </w:rPr>
        <w:t>（详见报价表）。</w:t>
      </w:r>
    </w:p>
    <w:p w14:paraId="385B0A4C">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p>
    <w:p w14:paraId="5147E9A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7EFBDF13">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lang w:val="en-US" w:eastAsia="zh-CN"/>
        </w:rPr>
        <w:t>胶凝材料运输总量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lang w:val="en-US" w:eastAsia="zh-CN"/>
        </w:rPr>
        <w:t>胶凝材料运输量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1C797921">
      <w:pPr>
        <w:spacing w:line="360" w:lineRule="auto"/>
        <w:ind w:firstLine="490" w:firstLineChars="200"/>
        <w:rPr>
          <w:rFonts w:hint="eastAsia" w:ascii="仿宋" w:hAnsi="仿宋" w:eastAsia="仿宋" w:cs="仿宋"/>
          <w:color w:val="auto"/>
          <w:sz w:val="24"/>
          <w:szCs w:val="24"/>
          <w:highlight w:val="none"/>
          <w:lang w:eastAsia="zh-CN"/>
        </w:rPr>
      </w:pPr>
    </w:p>
    <w:p w14:paraId="6DADDF1B">
      <w:pPr>
        <w:pStyle w:val="154"/>
        <w:keepNext w:val="0"/>
        <w:keepLines w:val="0"/>
        <w:pageBreakBefore w:val="0"/>
        <w:numPr>
          <w:ilvl w:val="0"/>
          <w:numId w:val="2"/>
        </w:numPr>
        <w:kinsoku/>
        <w:wordWrap/>
        <w:overflowPunct/>
        <w:topLinePunct w:val="0"/>
        <w:autoSpaceDE/>
        <w:autoSpaceDN/>
        <w:bidi w:val="0"/>
        <w:adjustRightInd/>
        <w:snapToGrid/>
        <w:spacing w:line="48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568452DB">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color w:val="auto"/>
          <w:sz w:val="24"/>
          <w:szCs w:val="24"/>
          <w:highlight w:val="none"/>
        </w:rPr>
      </w:pPr>
    </w:p>
    <w:p w14:paraId="104332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F7FF38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4D89F0D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提供的相关资质证件均须在年审有效期内。</w:t>
      </w:r>
    </w:p>
    <w:p w14:paraId="51B10B50">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3C4BEAAC">
      <w:pPr>
        <w:keepNext w:val="0"/>
        <w:keepLines w:val="0"/>
        <w:pageBreakBefore w:val="0"/>
        <w:kinsoku/>
        <w:wordWrap/>
        <w:overflowPunct/>
        <w:topLinePunct w:val="0"/>
        <w:autoSpaceDE/>
        <w:autoSpaceDN/>
        <w:bidi w:val="0"/>
        <w:adjustRightInd/>
        <w:snapToGrid/>
        <w:spacing w:line="400" w:lineRule="exact"/>
        <w:ind w:firstLine="245"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793FC250">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6、本次参与邀请竞价的单位，须在铜陵铜冠建安新型环保建材科技有限公司通过鑫铜监理公司招标的运输合格供应商目录内（目前共5家单位）。</w:t>
      </w:r>
    </w:p>
    <w:p w14:paraId="3A15A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参运车辆要求：（1）中标范围内所发生的承运车辆必须为竞价人自有产权车辆（产权车辆不得低于5辆，提供产权车辆清单表），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额定载重量不低于30吨；（3）车辆需具备自行泵送物料的功能；（4）车辆必须具备道路运输资格，证件、保险手续齐全；（5）驾驶员必须持证上岗，无重大运输违法记录。</w:t>
      </w:r>
    </w:p>
    <w:p w14:paraId="23BEACB2">
      <w:pPr>
        <w:pStyle w:val="55"/>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color w:val="auto"/>
          <w:sz w:val="24"/>
          <w:szCs w:val="24"/>
          <w:highlight w:val="none"/>
        </w:rPr>
      </w:pPr>
    </w:p>
    <w:p w14:paraId="39791A83">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26D7D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color w:val="auto"/>
          <w:sz w:val="24"/>
          <w:szCs w:val="24"/>
          <w:highlight w:val="none"/>
        </w:rPr>
      </w:pPr>
    </w:p>
    <w:p w14:paraId="08AD2B6D">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637DBCED">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2BA949B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p>
    <w:p w14:paraId="172CC1AB">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CCF0E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bCs/>
          <w:color w:val="auto"/>
          <w:sz w:val="24"/>
          <w:szCs w:val="24"/>
          <w:highlight w:val="none"/>
        </w:rPr>
      </w:pPr>
    </w:p>
    <w:p w14:paraId="064FEA5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46F23DC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015835A">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3、报名自采购公告发布之日起至2025年11月19日12:00止。</w:t>
      </w:r>
    </w:p>
    <w:p w14:paraId="46A1CEE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0CCBC368">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5958D2B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val="0"/>
          <w:bCs w:val="0"/>
          <w:color w:val="auto"/>
          <w:sz w:val="24"/>
          <w:szCs w:val="24"/>
          <w:highlight w:val="none"/>
          <w:u w:val="single"/>
          <w:lang w:eastAsia="zh-CN"/>
        </w:rPr>
      </w:pPr>
    </w:p>
    <w:p w14:paraId="508BEAEE">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69CB3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6AA045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1、响应文件递交的截止时间：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lang w:eastAsia="zh-CN"/>
        </w:rPr>
        <w:t>:00</w:t>
      </w:r>
    </w:p>
    <w:p w14:paraId="7247FF91">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51FD3069">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7A6A2BE6">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4EF74B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lang w:val="en-US" w:eastAsia="zh-CN"/>
        </w:rPr>
      </w:pPr>
    </w:p>
    <w:p w14:paraId="10211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7DE121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auto"/>
          <w:sz w:val="24"/>
          <w:szCs w:val="24"/>
          <w:highlight w:val="none"/>
        </w:rPr>
      </w:pPr>
    </w:p>
    <w:p w14:paraId="587805C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lang w:val="en-US" w:eastAsia="zh-CN"/>
        </w:rPr>
        <w:t>胶凝材料运输的内容</w:t>
      </w:r>
    </w:p>
    <w:p w14:paraId="360E30EC">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shd w:val="clear" w:fill="FFFF00"/>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2026年度矿山充填胶凝材料运输业务</w:t>
      </w:r>
      <w:r>
        <w:rPr>
          <w:rFonts w:hint="eastAsia" w:ascii="仿宋" w:hAnsi="仿宋" w:eastAsia="仿宋" w:cs="仿宋"/>
          <w:b w:val="0"/>
          <w:bCs w:val="0"/>
          <w:color w:val="FF0000"/>
          <w:kern w:val="1"/>
          <w:sz w:val="24"/>
          <w:szCs w:val="24"/>
          <w:lang w:val="en-US" w:eastAsia="zh-CN"/>
        </w:rPr>
        <w:t>（二次询比采购）</w:t>
      </w:r>
    </w:p>
    <w:p w14:paraId="2997482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）运输项目内容：运送胶凝材料至指定矿山，指定地点</w:t>
      </w:r>
    </w:p>
    <w:p w14:paraId="61EC6149">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计价方式：固定</w:t>
      </w:r>
      <w:r>
        <w:rPr>
          <w:rFonts w:hint="eastAsia" w:ascii="仿宋" w:hAnsi="仿宋" w:eastAsia="仿宋" w:cs="仿宋"/>
          <w:color w:val="auto"/>
          <w:sz w:val="24"/>
          <w:szCs w:val="24"/>
          <w:highlight w:val="none"/>
          <w:lang w:eastAsia="zh-CN"/>
        </w:rPr>
        <w:t>运</w:t>
      </w:r>
      <w:r>
        <w:rPr>
          <w:rFonts w:hint="eastAsia" w:ascii="仿宋" w:hAnsi="仿宋" w:eastAsia="仿宋" w:cs="仿宋"/>
          <w:color w:val="auto"/>
          <w:sz w:val="24"/>
          <w:szCs w:val="24"/>
          <w:highlight w:val="none"/>
        </w:rPr>
        <w:t>价</w:t>
      </w:r>
    </w:p>
    <w:p w14:paraId="1A0FEB6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256E651">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18412E5">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3、运输费支付：甲方按上月入账金额在次月支付60%，2027年2月10日（一周内）付至80%,余款2027年12月31日（一周内）付清。</w:t>
      </w:r>
    </w:p>
    <w:p w14:paraId="5AEEB5DB">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 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如由乙方原因造成漏单，次月补办时甲方有权扣除所漏《发货单》运输费的50%。</w:t>
      </w:r>
      <w:r>
        <w:rPr>
          <w:rFonts w:hint="eastAsia" w:ascii="仿宋" w:hAnsi="仿宋" w:eastAsia="仿宋" w:cs="仿宋"/>
          <w:color w:val="auto"/>
          <w:sz w:val="24"/>
          <w:szCs w:val="24"/>
          <w:highlight w:val="none"/>
          <w:lang w:eastAsia="zh-CN"/>
        </w:rPr>
        <w:t>无回单（运输联）或签收不符合要求不予结算运费。</w:t>
      </w:r>
    </w:p>
    <w:p w14:paraId="093B2313">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、报价相关要求</w:t>
      </w:r>
    </w:p>
    <w:p w14:paraId="48EA4A02">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p>
    <w:p w14:paraId="12C6CA8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0721C6B0">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3300DD3">
      <w:pPr>
        <w:keepNext w:val="0"/>
        <w:keepLines w:val="0"/>
        <w:pageBreakBefore w:val="0"/>
        <w:widowControl w:val="0"/>
        <w:kinsoku/>
        <w:wordWrap/>
        <w:overflowPunct/>
        <w:topLinePunct w:val="0"/>
        <w:autoSpaceDE/>
        <w:autoSpaceDN/>
        <w:bidi w:val="0"/>
        <w:adjustRightInd/>
        <w:snapToGrid/>
        <w:spacing w:line="50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4CA4B67">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0C83F2">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121BAD39">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、交货地点</w:t>
      </w:r>
    </w:p>
    <w:p w14:paraId="6F0A7BF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胶凝材料运输</w:t>
      </w:r>
      <w:r>
        <w:rPr>
          <w:rFonts w:hint="eastAsia" w:ascii="仿宋" w:hAnsi="仿宋" w:eastAsia="仿宋" w:cs="仿宋"/>
          <w:color w:val="auto"/>
          <w:sz w:val="24"/>
          <w:szCs w:val="24"/>
          <w:highlight w:val="none"/>
          <w:u w:val="single"/>
        </w:rPr>
        <w:t>至指定地点。</w:t>
      </w:r>
    </w:p>
    <w:p w14:paraId="3BBFA810">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val="en-US" w:eastAsia="zh-CN"/>
        </w:rPr>
        <w:t>胶凝材料由承运商</w:t>
      </w:r>
      <w:r>
        <w:rPr>
          <w:rFonts w:hint="eastAsia" w:ascii="仿宋" w:hAnsi="仿宋" w:eastAsia="仿宋" w:cs="仿宋"/>
          <w:color w:val="auto"/>
          <w:sz w:val="24"/>
          <w:szCs w:val="24"/>
          <w:highlight w:val="none"/>
          <w:u w:val="single"/>
        </w:rPr>
        <w:t>负责运输。运输过程中未按相关安全、环保等要求所导致的一切安全生产事故由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E7C42B5">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以磅单最小值为准</w:t>
      </w:r>
      <w:r>
        <w:rPr>
          <w:rFonts w:hint="eastAsia" w:ascii="仿宋" w:hAnsi="仿宋" w:eastAsia="仿宋" w:cs="仿宋"/>
          <w:color w:val="auto"/>
          <w:sz w:val="24"/>
          <w:szCs w:val="24"/>
          <w:highlight w:val="none"/>
          <w:u w:val="single"/>
        </w:rPr>
        <w:t>。</w:t>
      </w:r>
    </w:p>
    <w:p w14:paraId="138C850E">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10、合同期内，如若市场油价较本次竞价比价时的油价涨跌幅度达10%以上，因此导致运输成本增加/减少的，在结算基价基础上按下列标准进行调整：</w:t>
      </w:r>
    </w:p>
    <w:tbl>
      <w:tblPr>
        <w:tblStyle w:val="46"/>
        <w:tblpPr w:leftFromText="180" w:rightFromText="180" w:vertAnchor="text" w:horzAnchor="page" w:tblpX="1226" w:tblpY="322"/>
        <w:tblOverlap w:val="never"/>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0B0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965" w:type="dxa"/>
            <w:noWrap w:val="0"/>
            <w:vAlign w:val="center"/>
          </w:tcPr>
          <w:p w14:paraId="79F62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06997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0C75D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53F9D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79DED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6102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5" w:type="dxa"/>
            <w:vMerge w:val="restart"/>
            <w:noWrap w:val="0"/>
            <w:vAlign w:val="center"/>
          </w:tcPr>
          <w:p w14:paraId="44FA2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34875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17B07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511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2FF86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494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65" w:type="dxa"/>
            <w:vMerge w:val="continue"/>
            <w:noWrap w:val="0"/>
            <w:vAlign w:val="center"/>
          </w:tcPr>
          <w:p w14:paraId="6B82D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570BB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5AD43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7D92D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53CC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127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886" w:type="dxa"/>
            <w:gridSpan w:val="5"/>
            <w:noWrap w:val="0"/>
            <w:vAlign w:val="center"/>
          </w:tcPr>
          <w:p w14:paraId="48D43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BB9EDF6">
      <w:pPr>
        <w:pStyle w:val="5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 w:hAnsi="仿宋" w:eastAsia="仿宋" w:cs="仿宋"/>
          <w:b/>
          <w:color w:val="auto"/>
          <w:sz w:val="24"/>
          <w:szCs w:val="24"/>
          <w:highlight w:val="none"/>
        </w:rPr>
      </w:pPr>
    </w:p>
    <w:p w14:paraId="3A2EE6E8">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25DFE2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2A3FC64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67C94275">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D04C973">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p>
    <w:p w14:paraId="19B7F038">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011B79EC">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60E9BE6">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7E92C158">
      <w:pPr>
        <w:pStyle w:val="154"/>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lang w:val="en-US" w:eastAsia="zh-CN"/>
        </w:rPr>
      </w:pPr>
    </w:p>
    <w:p w14:paraId="0BBEB5E3">
      <w:pPr>
        <w:pStyle w:val="154"/>
        <w:keepNext w:val="0"/>
        <w:keepLines w:val="0"/>
        <w:pageBreakBefore w:val="0"/>
        <w:numPr>
          <w:ilvl w:val="0"/>
          <w:numId w:val="3"/>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纪律和监督</w:t>
      </w:r>
    </w:p>
    <w:p w14:paraId="1545F25F">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200"/>
        <w:jc w:val="both"/>
        <w:textAlignment w:val="auto"/>
        <w:rPr>
          <w:rFonts w:hint="eastAsia" w:ascii="仿宋" w:hAnsi="仿宋" w:eastAsia="仿宋" w:cs="仿宋"/>
          <w:b/>
          <w:color w:val="auto"/>
          <w:sz w:val="24"/>
          <w:szCs w:val="24"/>
          <w:highlight w:val="none"/>
        </w:rPr>
      </w:pPr>
    </w:p>
    <w:p w14:paraId="1F2A7F8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31E24827">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04BFD84F">
      <w:pPr>
        <w:spacing w:line="360" w:lineRule="auto"/>
        <w:jc w:val="both"/>
        <w:rPr>
          <w:rFonts w:hint="eastAsia" w:ascii="仿宋" w:hAnsi="仿宋" w:eastAsia="仿宋" w:cs="仿宋"/>
          <w:b/>
          <w:color w:val="auto"/>
          <w:sz w:val="24"/>
          <w:szCs w:val="24"/>
          <w:highlight w:val="none"/>
        </w:rPr>
      </w:pPr>
    </w:p>
    <w:p w14:paraId="165FBE1E">
      <w:pPr>
        <w:spacing w:line="360" w:lineRule="auto"/>
        <w:jc w:val="center"/>
        <w:rPr>
          <w:rFonts w:hint="eastAsia" w:ascii="仿宋" w:hAnsi="仿宋" w:eastAsia="仿宋" w:cs="仿宋"/>
          <w:b/>
          <w:color w:val="auto"/>
          <w:sz w:val="24"/>
          <w:szCs w:val="24"/>
          <w:highlight w:val="none"/>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highlight w:val="none"/>
        </w:rPr>
      </w:pPr>
      <w:r>
        <w:rPr>
          <w:rFonts w:ascii="仿宋" w:hAnsi="仿宋" w:eastAsia="仿宋" w:cs="仿宋"/>
          <w:b/>
          <w:bCs/>
          <w:sz w:val="24"/>
          <w:szCs w:val="24"/>
          <w:highlight w:val="none"/>
        </w:rPr>
        <w:t>响应文件组成</w:t>
      </w:r>
    </w:p>
    <w:p w14:paraId="7F8EC0C9">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jc w:val="both"/>
        <w:textAlignment w:val="auto"/>
        <w:rPr>
          <w:rFonts w:ascii="仿宋" w:hAnsi="仿宋" w:eastAsia="仿宋" w:cs="仿宋"/>
          <w:b/>
          <w:bCs/>
          <w:sz w:val="24"/>
          <w:szCs w:val="24"/>
          <w:highlight w:val="none"/>
        </w:rPr>
      </w:pPr>
    </w:p>
    <w:p w14:paraId="6AE9B52F">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3、企业营业执照复印件（需加盖公章）</w:t>
      </w:r>
    </w:p>
    <w:p w14:paraId="66CEF51E">
      <w:pPr>
        <w:pStyle w:val="41"/>
        <w:keepNext w:val="0"/>
        <w:keepLines w:val="0"/>
        <w:widowControl/>
        <w:suppressLineNumbers w:val="0"/>
        <w:spacing w:before="0" w:beforeAutospacing="0" w:after="0" w:afterAutospacing="0" w:line="360" w:lineRule="auto"/>
        <w:ind w:left="490" w:leftChars="22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4、廉洁承诺书</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rPr>
          <w:highlight w:val="none"/>
        </w:rPr>
      </w:pPr>
      <w:r>
        <w:rPr>
          <w:rFonts w:hint="eastAsia" w:ascii="仿宋" w:hAnsi="仿宋" w:eastAsia="仿宋" w:cs="仿宋"/>
          <w:sz w:val="24"/>
          <w:szCs w:val="24"/>
          <w:highlight w:val="none"/>
          <w:lang w:val="en-US" w:eastAsia="zh-CN"/>
        </w:rPr>
        <w:t>5、竞价人自有产权车辆清单表</w:t>
      </w:r>
      <w:r>
        <w:rPr>
          <w:highlight w:val="none"/>
        </w:rPr>
        <w:br w:type="textWrapping"/>
      </w:r>
      <w:r>
        <w:rPr>
          <w:rFonts w:hint="eastAsia"/>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询比报价单</w:t>
      </w:r>
    </w:p>
    <w:p w14:paraId="19B54653">
      <w:pPr>
        <w:spacing w:line="360" w:lineRule="auto"/>
        <w:jc w:val="center"/>
        <w:rPr>
          <w:rFonts w:hint="eastAsia" w:ascii="仿宋" w:hAnsi="仿宋" w:eastAsia="仿宋" w:cs="仿宋"/>
          <w:b/>
          <w:color w:val="auto"/>
          <w:sz w:val="24"/>
          <w:szCs w:val="24"/>
          <w:highlight w:val="none"/>
        </w:rPr>
      </w:pPr>
    </w:p>
    <w:p w14:paraId="4DBDDAAC">
      <w:pPr>
        <w:spacing w:line="360" w:lineRule="auto"/>
        <w:jc w:val="center"/>
        <w:rPr>
          <w:rFonts w:hint="eastAsia" w:ascii="仿宋" w:hAnsi="仿宋" w:eastAsia="仿宋" w:cs="仿宋"/>
          <w:b/>
          <w:color w:val="auto"/>
          <w:sz w:val="24"/>
          <w:szCs w:val="24"/>
          <w:highlight w:val="none"/>
        </w:rPr>
      </w:pPr>
    </w:p>
    <w:p w14:paraId="48F4178D">
      <w:pPr>
        <w:spacing w:line="360" w:lineRule="auto"/>
        <w:jc w:val="center"/>
        <w:rPr>
          <w:rFonts w:hint="eastAsia" w:ascii="仿宋" w:hAnsi="仿宋" w:eastAsia="仿宋" w:cs="仿宋"/>
          <w:b/>
          <w:color w:val="auto"/>
          <w:sz w:val="24"/>
          <w:szCs w:val="24"/>
          <w:highlight w:val="none"/>
        </w:rPr>
      </w:pPr>
    </w:p>
    <w:p w14:paraId="5C12A5BD">
      <w:pPr>
        <w:spacing w:line="360" w:lineRule="auto"/>
        <w:jc w:val="center"/>
        <w:rPr>
          <w:rFonts w:hint="eastAsia" w:ascii="仿宋" w:hAnsi="仿宋" w:eastAsia="仿宋" w:cs="仿宋"/>
          <w:b/>
          <w:color w:val="auto"/>
          <w:sz w:val="24"/>
          <w:szCs w:val="24"/>
          <w:highlight w:val="none"/>
        </w:rPr>
      </w:pPr>
    </w:p>
    <w:p w14:paraId="04C373B7">
      <w:pPr>
        <w:spacing w:line="360" w:lineRule="auto"/>
        <w:jc w:val="both"/>
        <w:rPr>
          <w:rFonts w:hint="eastAsia" w:ascii="仿宋" w:hAnsi="仿宋" w:eastAsia="仿宋" w:cs="仿宋"/>
          <w:b/>
          <w:color w:val="auto"/>
          <w:sz w:val="24"/>
          <w:szCs w:val="24"/>
          <w:highlight w:val="none"/>
        </w:rPr>
      </w:pPr>
    </w:p>
    <w:p w14:paraId="2B2A1A93">
      <w:pPr>
        <w:spacing w:line="360" w:lineRule="auto"/>
        <w:jc w:val="both"/>
        <w:rPr>
          <w:rFonts w:hint="eastAsia" w:ascii="仿宋" w:hAnsi="仿宋" w:eastAsia="仿宋" w:cs="仿宋"/>
          <w:b/>
          <w:color w:val="auto"/>
          <w:sz w:val="24"/>
          <w:szCs w:val="24"/>
          <w:highlight w:val="none"/>
        </w:rPr>
      </w:pPr>
    </w:p>
    <w:p w14:paraId="4DAB044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78925DD1">
      <w:pPr>
        <w:spacing w:line="360" w:lineRule="auto"/>
        <w:jc w:val="center"/>
        <w:rPr>
          <w:rFonts w:hint="eastAsia" w:ascii="仿宋" w:hAnsi="仿宋" w:eastAsia="仿宋" w:cs="仿宋"/>
          <w:b/>
          <w:color w:val="auto"/>
          <w:sz w:val="24"/>
          <w:szCs w:val="24"/>
          <w:highlight w:val="none"/>
        </w:rPr>
      </w:pPr>
    </w:p>
    <w:p w14:paraId="1A6413C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21659C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992EE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0211E8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6514EBED">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7DA43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58ACBF">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D148604">
      <w:pPr>
        <w:spacing w:before="156" w:beforeLines="50" w:after="156" w:afterLines="50" w:line="360" w:lineRule="auto"/>
        <w:rPr>
          <w:rFonts w:hint="eastAsia" w:ascii="仿宋" w:hAnsi="仿宋" w:eastAsia="仿宋" w:cs="仿宋"/>
          <w:color w:val="auto"/>
          <w:sz w:val="24"/>
          <w:szCs w:val="24"/>
          <w:highlight w:val="none"/>
        </w:rPr>
      </w:pPr>
    </w:p>
    <w:p w14:paraId="642B62A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602FFA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992C16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24A2D1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87EE2DD">
      <w:pPr>
        <w:spacing w:line="360" w:lineRule="auto"/>
        <w:jc w:val="center"/>
        <w:rPr>
          <w:rFonts w:hint="eastAsia" w:ascii="仿宋" w:hAnsi="仿宋" w:eastAsia="仿宋" w:cs="仿宋"/>
          <w:b/>
          <w:color w:val="auto"/>
          <w:sz w:val="24"/>
          <w:szCs w:val="24"/>
          <w:highlight w:val="none"/>
        </w:rPr>
      </w:pPr>
    </w:p>
    <w:p w14:paraId="57F0A21E">
      <w:pPr>
        <w:spacing w:line="360" w:lineRule="auto"/>
        <w:jc w:val="center"/>
        <w:rPr>
          <w:rFonts w:hint="eastAsia" w:ascii="仿宋" w:hAnsi="仿宋" w:eastAsia="仿宋" w:cs="仿宋"/>
          <w:b/>
          <w:color w:val="auto"/>
          <w:sz w:val="24"/>
          <w:szCs w:val="24"/>
          <w:highlight w:val="none"/>
        </w:rPr>
      </w:pPr>
    </w:p>
    <w:p w14:paraId="5FC70B4D">
      <w:pPr>
        <w:spacing w:line="360" w:lineRule="auto"/>
        <w:jc w:val="both"/>
        <w:rPr>
          <w:rFonts w:hint="eastAsia" w:ascii="仿宋" w:hAnsi="仿宋" w:eastAsia="仿宋" w:cs="仿宋"/>
          <w:b/>
          <w:color w:val="auto"/>
          <w:sz w:val="24"/>
          <w:szCs w:val="24"/>
          <w:highlight w:val="none"/>
        </w:rPr>
      </w:pPr>
    </w:p>
    <w:p w14:paraId="37DF018D">
      <w:pPr>
        <w:spacing w:line="360" w:lineRule="auto"/>
        <w:jc w:val="both"/>
        <w:rPr>
          <w:rFonts w:hint="eastAsia" w:ascii="仿宋" w:hAnsi="仿宋" w:eastAsia="仿宋" w:cs="仿宋"/>
          <w:b/>
          <w:color w:val="auto"/>
          <w:sz w:val="24"/>
          <w:szCs w:val="24"/>
          <w:highlight w:val="none"/>
        </w:rPr>
      </w:pPr>
    </w:p>
    <w:p w14:paraId="130BB267">
      <w:pPr>
        <w:spacing w:line="360" w:lineRule="auto"/>
        <w:jc w:val="both"/>
        <w:rPr>
          <w:rFonts w:hint="eastAsia" w:ascii="仿宋" w:hAnsi="仿宋" w:eastAsia="仿宋" w:cs="仿宋"/>
          <w:b/>
          <w:color w:val="auto"/>
          <w:sz w:val="24"/>
          <w:szCs w:val="24"/>
          <w:highlight w:val="none"/>
        </w:rPr>
      </w:pPr>
    </w:p>
    <w:p w14:paraId="558F3BC6">
      <w:pPr>
        <w:spacing w:line="360" w:lineRule="auto"/>
        <w:jc w:val="both"/>
        <w:rPr>
          <w:rFonts w:hint="eastAsia" w:ascii="仿宋" w:hAnsi="仿宋" w:eastAsia="仿宋" w:cs="仿宋"/>
          <w:b/>
          <w:color w:val="auto"/>
          <w:sz w:val="24"/>
          <w:szCs w:val="24"/>
          <w:highlight w:val="none"/>
        </w:rPr>
      </w:pPr>
    </w:p>
    <w:p w14:paraId="001A83A8">
      <w:pPr>
        <w:spacing w:line="360" w:lineRule="auto"/>
        <w:jc w:val="center"/>
        <w:rPr>
          <w:rFonts w:hint="eastAsia" w:ascii="仿宋" w:hAnsi="仿宋" w:eastAsia="仿宋" w:cs="仿宋"/>
          <w:b/>
          <w:color w:val="auto"/>
          <w:sz w:val="24"/>
          <w:szCs w:val="24"/>
          <w:highlight w:val="none"/>
        </w:rPr>
      </w:pPr>
    </w:p>
    <w:p w14:paraId="2E0BEE0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39E7F372">
      <w:pPr>
        <w:spacing w:line="360" w:lineRule="auto"/>
        <w:ind w:firstLine="490" w:firstLineChars="200"/>
        <w:rPr>
          <w:rFonts w:hint="eastAsia" w:ascii="仿宋" w:hAnsi="仿宋" w:eastAsia="仿宋" w:cs="仿宋"/>
          <w:color w:val="auto"/>
          <w:sz w:val="24"/>
          <w:szCs w:val="24"/>
          <w:highlight w:val="none"/>
        </w:rPr>
      </w:pPr>
    </w:p>
    <w:p w14:paraId="48D92E44">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024FD07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6AC4A2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E524B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auto"/>
          <w:sz w:val="24"/>
          <w:szCs w:val="24"/>
          <w:highlight w:val="none"/>
          <w:u w:val="single"/>
        </w:rPr>
      </w:pPr>
    </w:p>
    <w:p w14:paraId="50A60796">
      <w:pPr>
        <w:spacing w:line="360" w:lineRule="auto"/>
        <w:ind w:firstLine="4655" w:firstLineChars="1900"/>
        <w:rPr>
          <w:rFonts w:hint="eastAsia" w:ascii="仿宋" w:hAnsi="仿宋" w:eastAsia="仿宋" w:cs="仿宋"/>
          <w:color w:val="auto"/>
          <w:sz w:val="24"/>
          <w:szCs w:val="24"/>
          <w:highlight w:val="none"/>
        </w:rPr>
      </w:pPr>
    </w:p>
    <w:p w14:paraId="202D9625">
      <w:pPr>
        <w:spacing w:line="360" w:lineRule="auto"/>
        <w:ind w:firstLine="4410" w:firstLine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承诺方签字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659FF597">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3E904E71">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3E5A5967">
      <w:pPr>
        <w:pStyle w:val="55"/>
        <w:rPr>
          <w:rFonts w:hint="eastAsia" w:ascii="仿宋" w:hAnsi="仿宋" w:eastAsia="仿宋" w:cs="仿宋"/>
          <w:color w:val="auto"/>
          <w:sz w:val="24"/>
          <w:szCs w:val="24"/>
          <w:highlight w:val="none"/>
        </w:rPr>
      </w:pPr>
    </w:p>
    <w:p w14:paraId="693A6FB6">
      <w:pPr>
        <w:pStyle w:val="55"/>
        <w:rPr>
          <w:rFonts w:hint="eastAsia" w:ascii="仿宋" w:hAnsi="仿宋" w:eastAsia="仿宋" w:cs="仿宋"/>
          <w:color w:val="auto"/>
          <w:sz w:val="24"/>
          <w:szCs w:val="24"/>
          <w:highlight w:val="none"/>
        </w:rPr>
      </w:pPr>
    </w:p>
    <w:p w14:paraId="54D05AE1">
      <w:pPr>
        <w:pStyle w:val="55"/>
        <w:rPr>
          <w:rFonts w:hint="eastAsia" w:ascii="仿宋" w:hAnsi="仿宋" w:eastAsia="仿宋" w:cs="仿宋"/>
          <w:color w:val="auto"/>
          <w:sz w:val="24"/>
          <w:szCs w:val="24"/>
          <w:highlight w:val="none"/>
        </w:rPr>
      </w:pPr>
    </w:p>
    <w:p w14:paraId="7539C6E7">
      <w:pPr>
        <w:pStyle w:val="55"/>
        <w:rPr>
          <w:rFonts w:hint="eastAsia" w:ascii="仿宋" w:hAnsi="仿宋" w:eastAsia="仿宋" w:cs="仿宋"/>
          <w:color w:val="auto"/>
          <w:sz w:val="24"/>
          <w:szCs w:val="24"/>
          <w:highlight w:val="none"/>
        </w:rPr>
      </w:pPr>
    </w:p>
    <w:p w14:paraId="772C6324">
      <w:pPr>
        <w:pStyle w:val="55"/>
        <w:rPr>
          <w:rFonts w:hint="eastAsia" w:ascii="仿宋" w:hAnsi="仿宋" w:eastAsia="仿宋" w:cs="仿宋"/>
          <w:color w:val="auto"/>
          <w:sz w:val="24"/>
          <w:szCs w:val="24"/>
          <w:highlight w:val="none"/>
        </w:rPr>
      </w:pPr>
    </w:p>
    <w:p w14:paraId="3556348A">
      <w:pPr>
        <w:pStyle w:val="55"/>
        <w:rPr>
          <w:rFonts w:hint="eastAsia" w:ascii="仿宋" w:hAnsi="仿宋" w:eastAsia="仿宋" w:cs="仿宋"/>
          <w:color w:val="auto"/>
          <w:sz w:val="24"/>
          <w:szCs w:val="24"/>
          <w:highlight w:val="none"/>
        </w:rPr>
      </w:pPr>
    </w:p>
    <w:p w14:paraId="216FFCE0">
      <w:pPr>
        <w:pStyle w:val="55"/>
        <w:rPr>
          <w:rFonts w:hint="eastAsia" w:ascii="仿宋" w:hAnsi="仿宋" w:eastAsia="仿宋" w:cs="仿宋"/>
          <w:color w:val="auto"/>
          <w:sz w:val="24"/>
          <w:szCs w:val="24"/>
          <w:highlight w:val="none"/>
        </w:rPr>
      </w:pPr>
    </w:p>
    <w:p w14:paraId="3E39D76A">
      <w:pPr>
        <w:pStyle w:val="55"/>
        <w:rPr>
          <w:rFonts w:hint="eastAsia" w:ascii="仿宋" w:hAnsi="仿宋" w:eastAsia="仿宋" w:cs="仿宋"/>
          <w:color w:val="auto"/>
          <w:sz w:val="24"/>
          <w:szCs w:val="24"/>
          <w:highlight w:val="none"/>
        </w:rPr>
      </w:pPr>
    </w:p>
    <w:p w14:paraId="686C309D">
      <w:pPr>
        <w:pStyle w:val="55"/>
        <w:rPr>
          <w:rFonts w:hint="eastAsia" w:ascii="仿宋" w:hAnsi="仿宋" w:eastAsia="仿宋" w:cs="仿宋"/>
          <w:color w:val="auto"/>
          <w:sz w:val="24"/>
          <w:szCs w:val="24"/>
          <w:highlight w:val="none"/>
        </w:rPr>
      </w:pPr>
    </w:p>
    <w:p w14:paraId="67BFA840">
      <w:pPr>
        <w:pStyle w:val="55"/>
        <w:rPr>
          <w:rFonts w:hint="eastAsia" w:ascii="仿宋" w:hAnsi="仿宋" w:eastAsia="仿宋" w:cs="仿宋"/>
          <w:color w:val="auto"/>
          <w:sz w:val="24"/>
          <w:szCs w:val="24"/>
          <w:highlight w:val="none"/>
        </w:rPr>
      </w:pPr>
    </w:p>
    <w:p w14:paraId="193DBB7A">
      <w:pPr>
        <w:pStyle w:val="55"/>
        <w:ind w:left="0" w:leftChars="0" w:firstLine="0" w:firstLineChars="0"/>
        <w:rPr>
          <w:rFonts w:hint="eastAsia" w:ascii="仿宋" w:hAnsi="仿宋" w:eastAsia="仿宋" w:cs="仿宋"/>
          <w:color w:val="auto"/>
          <w:sz w:val="24"/>
          <w:szCs w:val="24"/>
          <w:highlight w:val="none"/>
        </w:rPr>
      </w:pPr>
    </w:p>
    <w:p w14:paraId="60E809CE">
      <w:pPr>
        <w:pStyle w:val="55"/>
        <w:ind w:left="0" w:leftChars="0" w:firstLine="0" w:firstLineChars="0"/>
        <w:rPr>
          <w:rFonts w:hint="eastAsia" w:ascii="仿宋" w:hAnsi="仿宋" w:eastAsia="仿宋" w:cs="仿宋"/>
          <w:color w:val="auto"/>
          <w:sz w:val="24"/>
          <w:szCs w:val="24"/>
          <w:highlight w:val="none"/>
        </w:rPr>
      </w:pPr>
    </w:p>
    <w:p w14:paraId="63DCA8C7">
      <w:pPr>
        <w:numPr>
          <w:ilvl w:val="0"/>
          <w:numId w:val="5"/>
        </w:numPr>
        <w:spacing w:line="360" w:lineRule="auto"/>
        <w:jc w:val="center"/>
        <w:rPr>
          <w:rFonts w:hint="eastAsia" w:ascii="仿宋" w:hAnsi="仿宋" w:eastAsia="仿宋" w:cs="仿宋"/>
          <w:b/>
          <w:color w:val="auto"/>
          <w:sz w:val="24"/>
          <w:szCs w:val="24"/>
          <w:highlight w:val="none"/>
        </w:rPr>
      </w:pPr>
      <w:bookmarkStart w:id="1" w:name="_Toc132638962"/>
      <w:r>
        <w:rPr>
          <w:rFonts w:hint="eastAsia" w:ascii="仿宋" w:hAnsi="仿宋" w:eastAsia="仿宋" w:cs="仿宋"/>
          <w:b/>
          <w:color w:val="auto"/>
          <w:sz w:val="24"/>
          <w:szCs w:val="24"/>
          <w:highlight w:val="none"/>
          <w:lang w:val="en-US" w:eastAsia="zh-CN"/>
        </w:rPr>
        <w:t>竞价人</w:t>
      </w:r>
      <w:r>
        <w:rPr>
          <w:rFonts w:hint="eastAsia" w:ascii="仿宋" w:hAnsi="仿宋" w:eastAsia="仿宋" w:cs="仿宋"/>
          <w:b/>
          <w:color w:val="auto"/>
          <w:sz w:val="24"/>
          <w:szCs w:val="24"/>
          <w:highlight w:val="none"/>
        </w:rPr>
        <w:t>自有产权车辆清单表</w:t>
      </w:r>
      <w:bookmarkEnd w:id="1"/>
    </w:p>
    <w:p w14:paraId="0F7DEF47">
      <w:pPr>
        <w:numPr>
          <w:ilvl w:val="0"/>
          <w:numId w:val="0"/>
        </w:numPr>
        <w:spacing w:line="360" w:lineRule="auto"/>
        <w:jc w:val="both"/>
        <w:rPr>
          <w:rFonts w:hint="eastAsia" w:ascii="仿宋" w:hAnsi="仿宋" w:eastAsia="仿宋" w:cs="仿宋"/>
          <w:b/>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626"/>
        <w:gridCol w:w="1305"/>
        <w:gridCol w:w="1525"/>
        <w:gridCol w:w="1275"/>
        <w:gridCol w:w="1715"/>
      </w:tblGrid>
      <w:tr w14:paraId="56CD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7C9FC0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26" w:type="dxa"/>
            <w:noWrap w:val="0"/>
            <w:vAlign w:val="center"/>
          </w:tcPr>
          <w:p w14:paraId="14255DF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车辆类型</w:t>
            </w:r>
          </w:p>
        </w:tc>
        <w:tc>
          <w:tcPr>
            <w:tcW w:w="1305" w:type="dxa"/>
            <w:noWrap w:val="0"/>
            <w:vAlign w:val="center"/>
          </w:tcPr>
          <w:p w14:paraId="2EDF96D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使用性质</w:t>
            </w:r>
          </w:p>
        </w:tc>
        <w:tc>
          <w:tcPr>
            <w:tcW w:w="1525" w:type="dxa"/>
            <w:noWrap w:val="0"/>
            <w:vAlign w:val="center"/>
          </w:tcPr>
          <w:p w14:paraId="6E6C2F4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1275" w:type="dxa"/>
            <w:noWrap w:val="0"/>
            <w:vAlign w:val="center"/>
          </w:tcPr>
          <w:p w14:paraId="76783F9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车辆号码</w:t>
            </w:r>
          </w:p>
        </w:tc>
        <w:tc>
          <w:tcPr>
            <w:tcW w:w="1715" w:type="dxa"/>
            <w:noWrap w:val="0"/>
            <w:vAlign w:val="center"/>
          </w:tcPr>
          <w:p w14:paraId="4146244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仿宋" w:hAnsi="仿宋" w:eastAsia="仿宋" w:cs="仿宋"/>
                <w:color w:val="auto"/>
                <w:sz w:val="24"/>
                <w:szCs w:val="24"/>
                <w:highlight w:val="none"/>
              </w:rPr>
              <w:t>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注</w:t>
            </w:r>
          </w:p>
        </w:tc>
      </w:tr>
      <w:tr w14:paraId="6BAB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11AB0E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26" w:type="dxa"/>
            <w:noWrap w:val="0"/>
            <w:vAlign w:val="center"/>
          </w:tcPr>
          <w:p w14:paraId="3C48AEC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罐  车</w:t>
            </w:r>
          </w:p>
        </w:tc>
        <w:tc>
          <w:tcPr>
            <w:tcW w:w="1305" w:type="dxa"/>
            <w:noWrap w:val="0"/>
            <w:vAlign w:val="center"/>
          </w:tcPr>
          <w:p w14:paraId="7C64472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商用</w:t>
            </w:r>
          </w:p>
        </w:tc>
        <w:tc>
          <w:tcPr>
            <w:tcW w:w="1525" w:type="dxa"/>
            <w:noWrap w:val="0"/>
            <w:vAlign w:val="center"/>
          </w:tcPr>
          <w:p w14:paraId="283F6B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275" w:type="dxa"/>
            <w:noWrap w:val="0"/>
            <w:vAlign w:val="center"/>
          </w:tcPr>
          <w:p w14:paraId="361DE1D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皖G*****</w:t>
            </w:r>
          </w:p>
        </w:tc>
        <w:tc>
          <w:tcPr>
            <w:tcW w:w="1715" w:type="dxa"/>
            <w:noWrap w:val="0"/>
            <w:vAlign w:val="center"/>
          </w:tcPr>
          <w:p w14:paraId="11AE65B3">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7D3F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21BAA42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26" w:type="dxa"/>
            <w:noWrap w:val="0"/>
            <w:vAlign w:val="center"/>
          </w:tcPr>
          <w:p w14:paraId="4231B03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143D3E9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609C8BC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3E9E3E5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07A27D88">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2225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DEEB5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26" w:type="dxa"/>
            <w:noWrap w:val="0"/>
            <w:vAlign w:val="center"/>
          </w:tcPr>
          <w:p w14:paraId="2B39A0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6DD3F18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61EB795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7538883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E0B6797">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66B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8EE1B2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26" w:type="dxa"/>
            <w:noWrap w:val="0"/>
            <w:vAlign w:val="center"/>
          </w:tcPr>
          <w:p w14:paraId="40434DE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6815D9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99E016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A348C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27D2302">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1060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BF22E9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26" w:type="dxa"/>
            <w:noWrap w:val="0"/>
            <w:vAlign w:val="center"/>
          </w:tcPr>
          <w:p w14:paraId="564FC71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5A063C2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B652B7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F8869E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034119DD">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143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3CE20C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38CF564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71C434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200C841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530A89A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5E40CF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5009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15296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28F3581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5D2CE5C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4D89A40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13B9E7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07583B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493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5193E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FFA163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7902C8C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A72748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E811E8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491D2A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64A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DA9469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69265C9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B6D6F2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C4C8E2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5DB4665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0950EF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4D2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F61065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0E28C58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D5AB4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2345C1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1C306D6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7956D0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32D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684255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01FBE5B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2CEC63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791679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5656A9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9AE7D7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D4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52E9F6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43C3825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0AD70E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4FC873E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4629E7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5163348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145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34E1E6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2453F2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0F0C6E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5A352C5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0BA36A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50F0DB3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315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FF6D2E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861E0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F91C63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2351E13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38AAA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1CF2F6F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7E98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01CD77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3F77311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72490B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EFA581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9C4BE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3F46302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80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5ACED5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213CE50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7A7797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C8C2D5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2DF4A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48BC38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74E7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674454A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26" w:type="dxa"/>
            <w:noWrap w:val="0"/>
            <w:vAlign w:val="center"/>
          </w:tcPr>
          <w:p w14:paraId="1D9BD3A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BADA2E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F9AD44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FADCDF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1665BBE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C2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4CF252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626" w:type="dxa"/>
            <w:noWrap w:val="0"/>
            <w:vAlign w:val="center"/>
          </w:tcPr>
          <w:p w14:paraId="3826423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38E9AEB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7D56FD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4A7429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3ED216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bl>
    <w:p w14:paraId="7F93AE49">
      <w:pPr>
        <w:pStyle w:val="55"/>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注：须同时附车辆保险单、营运证、行驶证、车辆照片等相关材料扫描件。</w:t>
      </w:r>
    </w:p>
    <w:p w14:paraId="6B801E76">
      <w:pPr>
        <w:pStyle w:val="55"/>
        <w:rPr>
          <w:rFonts w:hint="eastAsia" w:ascii="仿宋" w:hAnsi="仿宋" w:eastAsia="仿宋" w:cs="仿宋"/>
          <w:color w:val="auto"/>
          <w:sz w:val="24"/>
          <w:szCs w:val="24"/>
          <w:highlight w:val="none"/>
        </w:rPr>
      </w:pPr>
    </w:p>
    <w:p w14:paraId="62FDDD60">
      <w:pPr>
        <w:pStyle w:val="55"/>
        <w:rPr>
          <w:rFonts w:hint="eastAsia" w:ascii="仿宋" w:hAnsi="仿宋" w:eastAsia="仿宋" w:cs="仿宋"/>
          <w:color w:val="auto"/>
          <w:sz w:val="24"/>
          <w:szCs w:val="24"/>
          <w:highlight w:val="none"/>
        </w:rPr>
      </w:pPr>
    </w:p>
    <w:p w14:paraId="38094C87">
      <w:pPr>
        <w:pStyle w:val="55"/>
        <w:ind w:left="0" w:leftChars="0" w:firstLine="0" w:firstLineChars="0"/>
        <w:rPr>
          <w:rFonts w:hint="eastAsia" w:ascii="仿宋" w:hAnsi="仿宋" w:eastAsia="仿宋" w:cs="仿宋"/>
          <w:color w:val="auto"/>
          <w:sz w:val="24"/>
          <w:szCs w:val="24"/>
          <w:highlight w:val="none"/>
        </w:rPr>
        <w:sectPr>
          <w:headerReference r:id="rId6" w:type="default"/>
          <w:pgSz w:w="11906" w:h="16838"/>
          <w:pgMar w:top="1417" w:right="1338" w:bottom="1417" w:left="1468" w:header="851" w:footer="272" w:gutter="283"/>
          <w:cols w:space="0" w:num="1"/>
          <w:rtlGutter w:val="0"/>
          <w:docGrid w:type="linesAndChars" w:linePitch="312" w:charSpace="1033"/>
        </w:sectPr>
      </w:pPr>
    </w:p>
    <w:p w14:paraId="60D63B8C">
      <w:pPr>
        <w:shd w:val="clear"/>
        <w:jc w:val="both"/>
        <w:rPr>
          <w:rFonts w:hint="eastAsia" w:ascii="仿宋" w:hAnsi="仿宋" w:eastAsia="仿宋" w:cs="仿宋"/>
          <w:b/>
          <w:bCs/>
          <w:color w:val="auto"/>
          <w:sz w:val="24"/>
          <w:szCs w:val="24"/>
          <w:highlight w:val="none"/>
          <w:u w:val="thick"/>
          <w:lang w:val="en-US" w:eastAsia="zh-CN" w:bidi="ar"/>
        </w:rPr>
      </w:pPr>
    </w:p>
    <w:p w14:paraId="18096585">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 xml:space="preserve">铜陵铜冠建安新型环保建材科技有限公司2026年度矿山充填胶凝材料运输业务 </w:t>
      </w:r>
      <w:r>
        <w:rPr>
          <w:rFonts w:hint="eastAsia" w:ascii="仿宋" w:hAnsi="仿宋" w:eastAsia="仿宋" w:cs="仿宋"/>
          <w:b/>
          <w:bCs/>
          <w:color w:val="FF0000"/>
          <w:kern w:val="1"/>
          <w:sz w:val="24"/>
          <w:szCs w:val="24"/>
          <w:u w:val="single"/>
          <w:lang w:val="en-US" w:eastAsia="zh-CN"/>
        </w:rPr>
        <w:t>（二次询比采购）</w:t>
      </w:r>
      <w:r>
        <w:rPr>
          <w:rFonts w:hint="eastAsia" w:ascii="仿宋" w:hAnsi="仿宋" w:eastAsia="仿宋" w:cs="仿宋"/>
          <w:b/>
          <w:bCs/>
          <w:color w:val="auto"/>
          <w:sz w:val="24"/>
          <w:szCs w:val="24"/>
          <w:highlight w:val="none"/>
          <w:u w:val="none"/>
          <w:lang w:bidi="ar"/>
        </w:rPr>
        <w:t>报</w:t>
      </w:r>
      <w:r>
        <w:rPr>
          <w:rFonts w:hint="eastAsia" w:ascii="仿宋" w:hAnsi="仿宋" w:eastAsia="仿宋" w:cs="仿宋"/>
          <w:b/>
          <w:bCs/>
          <w:color w:val="auto"/>
          <w:sz w:val="24"/>
          <w:szCs w:val="24"/>
          <w:highlight w:val="none"/>
          <w:lang w:bidi="ar"/>
        </w:rPr>
        <w:t>价</w:t>
      </w:r>
      <w:r>
        <w:rPr>
          <w:rFonts w:hint="eastAsia" w:ascii="仿宋" w:hAnsi="仿宋" w:eastAsia="仿宋" w:cs="仿宋"/>
          <w:b/>
          <w:bCs/>
          <w:color w:val="auto"/>
          <w:sz w:val="24"/>
          <w:szCs w:val="24"/>
          <w:highlight w:val="none"/>
          <w:lang w:val="en-US" w:eastAsia="zh-CN" w:bidi="ar"/>
        </w:rPr>
        <w:t>单</w:t>
      </w:r>
    </w:p>
    <w:p w14:paraId="4D452560">
      <w:pPr>
        <w:jc w:val="center"/>
        <w:rPr>
          <w:rFonts w:hint="default"/>
          <w:color w:val="FF0000"/>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TGJA-JX-2025-</w:t>
      </w:r>
      <w:r>
        <w:rPr>
          <w:rFonts w:hint="eastAsia"/>
          <w:color w:val="FF0000"/>
          <w:sz w:val="24"/>
          <w:szCs w:val="24"/>
          <w:highlight w:val="none"/>
          <w:lang w:val="en-US" w:eastAsia="zh-CN"/>
        </w:rPr>
        <w:t>055-2</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30"/>
        <w:gridCol w:w="1188"/>
        <w:gridCol w:w="1523"/>
        <w:gridCol w:w="545"/>
        <w:gridCol w:w="932"/>
        <w:gridCol w:w="1542"/>
        <w:gridCol w:w="1327"/>
        <w:gridCol w:w="1493"/>
        <w:gridCol w:w="2232"/>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230" w:type="dxa"/>
            <w:vMerge w:val="restart"/>
            <w:noWrap w:val="0"/>
            <w:vAlign w:val="center"/>
          </w:tcPr>
          <w:p w14:paraId="31F1C35A">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1188" w:type="dxa"/>
            <w:vMerge w:val="restart"/>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1523" w:type="dxa"/>
            <w:vMerge w:val="restart"/>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50D2D87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7" w:type="dxa"/>
            <w:gridSpan w:val="2"/>
            <w:vMerge w:val="restart"/>
            <w:noWrap w:val="0"/>
            <w:vAlign w:val="center"/>
          </w:tcPr>
          <w:p w14:paraId="16A6634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5E35EA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42" w:type="dxa"/>
            <w:vMerge w:val="restart"/>
            <w:noWrap w:val="0"/>
            <w:vAlign w:val="center"/>
          </w:tcPr>
          <w:p w14:paraId="6D7DE75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8645F2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20" w:type="dxa"/>
            <w:gridSpan w:val="2"/>
            <w:noWrap w:val="0"/>
            <w:vAlign w:val="center"/>
          </w:tcPr>
          <w:p w14:paraId="572AEB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2232" w:type="dxa"/>
            <w:vMerge w:val="restart"/>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6FFD35C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3230" w:type="dxa"/>
            <w:vMerge w:val="continue"/>
            <w:noWrap w:val="0"/>
            <w:vAlign w:val="center"/>
          </w:tcPr>
          <w:p w14:paraId="785F4B5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188" w:type="dxa"/>
            <w:vMerge w:val="continue"/>
            <w:noWrap w:val="0"/>
            <w:vAlign w:val="center"/>
          </w:tcPr>
          <w:p w14:paraId="4407F5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523" w:type="dxa"/>
            <w:vMerge w:val="continue"/>
            <w:noWrap w:val="0"/>
            <w:vAlign w:val="center"/>
          </w:tcPr>
          <w:p w14:paraId="246FD10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7" w:type="dxa"/>
            <w:gridSpan w:val="2"/>
            <w:vMerge w:val="continue"/>
            <w:noWrap w:val="0"/>
            <w:vAlign w:val="center"/>
          </w:tcPr>
          <w:p w14:paraId="12FA54A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42" w:type="dxa"/>
            <w:vMerge w:val="continue"/>
            <w:noWrap w:val="0"/>
            <w:vAlign w:val="center"/>
          </w:tcPr>
          <w:p w14:paraId="6006336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327" w:type="dxa"/>
            <w:noWrap w:val="0"/>
            <w:vAlign w:val="center"/>
          </w:tcPr>
          <w:p w14:paraId="4EEC5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93" w:type="dxa"/>
            <w:noWrap w:val="0"/>
            <w:vAlign w:val="center"/>
          </w:tcPr>
          <w:p w14:paraId="518395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2232" w:type="dxa"/>
            <w:vMerge w:val="continue"/>
            <w:noWrap w:val="0"/>
            <w:vAlign w:val="center"/>
          </w:tcPr>
          <w:p w14:paraId="582A223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21C1A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2" w:name="OLE_LINK2" w:colFirst="6" w:colLast="6"/>
            <w:bookmarkStart w:id="3" w:name="OLE_LINK1" w:colFirst="5" w:colLast="5"/>
            <w:r>
              <w:rPr>
                <w:rFonts w:hint="eastAsia" w:ascii="仿宋" w:hAnsi="仿宋" w:eastAsia="仿宋" w:cs="仿宋"/>
                <w:b w:val="0"/>
                <w:bCs/>
                <w:color w:val="auto"/>
                <w:sz w:val="24"/>
                <w:szCs w:val="24"/>
                <w:highlight w:val="none"/>
                <w:lang w:val="en-US" w:eastAsia="zh-CN"/>
              </w:rPr>
              <w:t>1</w:t>
            </w:r>
          </w:p>
        </w:tc>
        <w:tc>
          <w:tcPr>
            <w:tcW w:w="3230" w:type="dxa"/>
            <w:shd w:val="clear" w:color="auto" w:fill="auto"/>
            <w:noWrap w:val="0"/>
            <w:vAlign w:val="center"/>
          </w:tcPr>
          <w:p w14:paraId="75C8C22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铜冠建材-铜冠（庐江）矿业</w:t>
            </w:r>
          </w:p>
        </w:tc>
        <w:tc>
          <w:tcPr>
            <w:tcW w:w="1188" w:type="dxa"/>
            <w:shd w:val="clear" w:color="auto" w:fill="auto"/>
            <w:noWrap w:val="0"/>
            <w:vAlign w:val="center"/>
          </w:tcPr>
          <w:p w14:paraId="659AF17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2200E20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95</w:t>
            </w:r>
          </w:p>
        </w:tc>
        <w:tc>
          <w:tcPr>
            <w:tcW w:w="1477" w:type="dxa"/>
            <w:gridSpan w:val="2"/>
            <w:shd w:val="clear" w:color="auto" w:fill="auto"/>
            <w:noWrap w:val="0"/>
            <w:vAlign w:val="center"/>
          </w:tcPr>
          <w:p w14:paraId="0C0825A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150000</w:t>
            </w:r>
          </w:p>
        </w:tc>
        <w:tc>
          <w:tcPr>
            <w:tcW w:w="1542" w:type="dxa"/>
            <w:shd w:val="clear" w:color="auto" w:fill="auto"/>
            <w:noWrap w:val="0"/>
            <w:vAlign w:val="center"/>
          </w:tcPr>
          <w:p w14:paraId="3576F19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w:t>
            </w:r>
          </w:p>
        </w:tc>
        <w:tc>
          <w:tcPr>
            <w:tcW w:w="1327" w:type="dxa"/>
            <w:shd w:val="clear" w:color="auto" w:fill="auto"/>
            <w:noWrap w:val="0"/>
            <w:vAlign w:val="center"/>
          </w:tcPr>
          <w:p w14:paraId="1677F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93"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宋体" w:hAnsi="宋体" w:eastAsia="宋体" w:cs="宋体"/>
                <w:color w:val="auto"/>
                <w:kern w:val="0"/>
                <w:sz w:val="21"/>
                <w:szCs w:val="21"/>
                <w:highlight w:val="none"/>
                <w:vertAlign w:val="baseline"/>
                <w:lang w:val="en-US" w:eastAsia="zh-CN" w:bidi="ar"/>
              </w:rPr>
              <w:t>当前途经铜陵长江大桥一桥的费用，最高限价为29元；后续若需调整路线至铜陵长江大桥三桥，相关运费据实协商。</w:t>
            </w:r>
          </w:p>
        </w:tc>
      </w:tr>
      <w:tr w14:paraId="6CC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41AA88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3230" w:type="dxa"/>
            <w:shd w:val="clear" w:color="auto" w:fill="auto"/>
            <w:noWrap w:val="0"/>
            <w:vAlign w:val="center"/>
          </w:tcPr>
          <w:p w14:paraId="57F17FB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铜冠建材-天马山矿业</w:t>
            </w:r>
          </w:p>
        </w:tc>
        <w:tc>
          <w:tcPr>
            <w:tcW w:w="1188" w:type="dxa"/>
            <w:shd w:val="clear" w:color="auto" w:fill="auto"/>
            <w:noWrap w:val="0"/>
            <w:vAlign w:val="center"/>
          </w:tcPr>
          <w:p w14:paraId="2C7075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3C393FE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77" w:type="dxa"/>
            <w:gridSpan w:val="2"/>
            <w:shd w:val="clear" w:color="auto" w:fill="auto"/>
            <w:noWrap w:val="0"/>
            <w:vAlign w:val="center"/>
          </w:tcPr>
          <w:p w14:paraId="6A13921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12000</w:t>
            </w:r>
          </w:p>
        </w:tc>
        <w:tc>
          <w:tcPr>
            <w:tcW w:w="1542" w:type="dxa"/>
            <w:shd w:val="clear" w:color="auto" w:fill="auto"/>
            <w:noWrap w:val="0"/>
            <w:vAlign w:val="center"/>
          </w:tcPr>
          <w:p w14:paraId="420DE47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w:t>
            </w:r>
          </w:p>
        </w:tc>
        <w:tc>
          <w:tcPr>
            <w:tcW w:w="1327" w:type="dxa"/>
            <w:shd w:val="clear" w:color="auto" w:fill="auto"/>
            <w:noWrap w:val="0"/>
            <w:vAlign w:val="center"/>
          </w:tcPr>
          <w:p w14:paraId="24552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48B62D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FD1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4596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07484A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3230" w:type="dxa"/>
            <w:shd w:val="clear" w:color="auto" w:fill="auto"/>
            <w:noWrap w:val="0"/>
            <w:vAlign w:val="center"/>
          </w:tcPr>
          <w:p w14:paraId="3BA7A15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铜冠建材-全鑫矿业</w:t>
            </w:r>
          </w:p>
        </w:tc>
        <w:tc>
          <w:tcPr>
            <w:tcW w:w="1188" w:type="dxa"/>
            <w:shd w:val="clear" w:color="auto" w:fill="auto"/>
            <w:noWrap w:val="0"/>
            <w:vAlign w:val="center"/>
          </w:tcPr>
          <w:p w14:paraId="3FFFBEB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73E3C43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128</w:t>
            </w:r>
          </w:p>
        </w:tc>
        <w:tc>
          <w:tcPr>
            <w:tcW w:w="1477" w:type="dxa"/>
            <w:gridSpan w:val="2"/>
            <w:shd w:val="clear" w:color="auto" w:fill="auto"/>
            <w:noWrap w:val="0"/>
            <w:vAlign w:val="center"/>
          </w:tcPr>
          <w:p w14:paraId="7952650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5500</w:t>
            </w:r>
          </w:p>
        </w:tc>
        <w:tc>
          <w:tcPr>
            <w:tcW w:w="1542" w:type="dxa"/>
            <w:shd w:val="clear" w:color="auto" w:fill="auto"/>
            <w:noWrap w:val="0"/>
            <w:vAlign w:val="center"/>
          </w:tcPr>
          <w:p w14:paraId="56205DE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w:t>
            </w:r>
          </w:p>
        </w:tc>
        <w:tc>
          <w:tcPr>
            <w:tcW w:w="1327" w:type="dxa"/>
            <w:shd w:val="clear" w:color="auto" w:fill="auto"/>
            <w:noWrap w:val="0"/>
            <w:vAlign w:val="center"/>
          </w:tcPr>
          <w:p w14:paraId="412E6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6C3EAC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3CC33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7B21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6A080C9">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3230" w:type="dxa"/>
            <w:shd w:val="clear" w:color="auto" w:fill="auto"/>
            <w:noWrap w:val="0"/>
            <w:vAlign w:val="center"/>
          </w:tcPr>
          <w:p w14:paraId="52D48D6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铜冠建材-宣城华通矿业</w:t>
            </w:r>
          </w:p>
        </w:tc>
        <w:tc>
          <w:tcPr>
            <w:tcW w:w="1188" w:type="dxa"/>
            <w:shd w:val="clear" w:color="auto" w:fill="auto"/>
            <w:noWrap w:val="0"/>
            <w:vAlign w:val="center"/>
          </w:tcPr>
          <w:p w14:paraId="046B246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6D12EBC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w:t>
            </w:r>
          </w:p>
        </w:tc>
        <w:tc>
          <w:tcPr>
            <w:tcW w:w="1477" w:type="dxa"/>
            <w:gridSpan w:val="2"/>
            <w:shd w:val="clear" w:color="auto" w:fill="auto"/>
            <w:noWrap w:val="0"/>
            <w:vAlign w:val="center"/>
          </w:tcPr>
          <w:p w14:paraId="6241239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3500</w:t>
            </w:r>
          </w:p>
        </w:tc>
        <w:tc>
          <w:tcPr>
            <w:tcW w:w="1542" w:type="dxa"/>
            <w:shd w:val="clear" w:color="auto" w:fill="auto"/>
            <w:noWrap w:val="0"/>
            <w:vAlign w:val="center"/>
          </w:tcPr>
          <w:p w14:paraId="22CCC71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48</w:t>
            </w:r>
          </w:p>
        </w:tc>
        <w:tc>
          <w:tcPr>
            <w:tcW w:w="1327" w:type="dxa"/>
            <w:shd w:val="clear" w:color="auto" w:fill="auto"/>
            <w:noWrap w:val="0"/>
            <w:vAlign w:val="center"/>
          </w:tcPr>
          <w:p w14:paraId="108FCE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63E324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49491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0D31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0D4AEA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3230" w:type="dxa"/>
            <w:shd w:val="clear" w:color="auto" w:fill="auto"/>
            <w:noWrap w:val="0"/>
            <w:vAlign w:val="center"/>
          </w:tcPr>
          <w:p w14:paraId="7C2775D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铜冠建材-铜山铜矿</w:t>
            </w:r>
          </w:p>
        </w:tc>
        <w:tc>
          <w:tcPr>
            <w:tcW w:w="1188" w:type="dxa"/>
            <w:shd w:val="clear" w:color="auto" w:fill="auto"/>
            <w:noWrap w:val="0"/>
            <w:vAlign w:val="center"/>
          </w:tcPr>
          <w:p w14:paraId="5FBACD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1145060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95</w:t>
            </w:r>
          </w:p>
        </w:tc>
        <w:tc>
          <w:tcPr>
            <w:tcW w:w="1477" w:type="dxa"/>
            <w:gridSpan w:val="2"/>
            <w:shd w:val="clear" w:color="auto" w:fill="auto"/>
            <w:noWrap w:val="0"/>
            <w:vAlign w:val="center"/>
          </w:tcPr>
          <w:p w14:paraId="4CA3372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12000</w:t>
            </w:r>
          </w:p>
        </w:tc>
        <w:tc>
          <w:tcPr>
            <w:tcW w:w="1542" w:type="dxa"/>
            <w:shd w:val="clear" w:color="auto" w:fill="auto"/>
            <w:noWrap w:val="0"/>
            <w:vAlign w:val="center"/>
          </w:tcPr>
          <w:p w14:paraId="1E19383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327" w:type="dxa"/>
            <w:shd w:val="clear" w:color="auto" w:fill="auto"/>
            <w:noWrap w:val="0"/>
            <w:vAlign w:val="center"/>
          </w:tcPr>
          <w:p w14:paraId="6A2351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24A4DE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BBA8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43B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2E93E0D0">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3230" w:type="dxa"/>
            <w:shd w:val="clear" w:color="auto" w:fill="auto"/>
            <w:noWrap w:val="0"/>
            <w:vAlign w:val="center"/>
          </w:tcPr>
          <w:p w14:paraId="64F2A1C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铜冠建材-宏均矿业</w:t>
            </w:r>
          </w:p>
        </w:tc>
        <w:tc>
          <w:tcPr>
            <w:tcW w:w="1188" w:type="dxa"/>
            <w:shd w:val="clear" w:color="auto" w:fill="auto"/>
            <w:noWrap w:val="0"/>
            <w:vAlign w:val="center"/>
          </w:tcPr>
          <w:p w14:paraId="0CEF943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4A56B9D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145</w:t>
            </w:r>
          </w:p>
        </w:tc>
        <w:tc>
          <w:tcPr>
            <w:tcW w:w="1477" w:type="dxa"/>
            <w:gridSpan w:val="2"/>
            <w:shd w:val="clear" w:color="auto" w:fill="auto"/>
            <w:noWrap w:val="0"/>
            <w:vAlign w:val="center"/>
          </w:tcPr>
          <w:p w14:paraId="408D8DF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1000</w:t>
            </w:r>
          </w:p>
        </w:tc>
        <w:tc>
          <w:tcPr>
            <w:tcW w:w="1542" w:type="dxa"/>
            <w:shd w:val="clear" w:color="auto" w:fill="auto"/>
            <w:noWrap w:val="0"/>
            <w:vAlign w:val="center"/>
          </w:tcPr>
          <w:p w14:paraId="51C6175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w:t>
            </w:r>
          </w:p>
        </w:tc>
        <w:tc>
          <w:tcPr>
            <w:tcW w:w="1327" w:type="dxa"/>
            <w:shd w:val="clear" w:color="auto" w:fill="auto"/>
            <w:noWrap w:val="0"/>
            <w:vAlign w:val="center"/>
          </w:tcPr>
          <w:p w14:paraId="490EDE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1C15F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28C64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2"/>
      <w:bookmarkEnd w:id="3"/>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50"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474" w:type="dxa"/>
            <w:gridSpan w:val="2"/>
            <w:shd w:val="clear" w:color="auto" w:fill="auto"/>
            <w:noWrap w:val="0"/>
            <w:vAlign w:val="center"/>
          </w:tcPr>
          <w:p w14:paraId="0E522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1327" w:type="dxa"/>
            <w:noWrap w:val="0"/>
            <w:vAlign w:val="center"/>
          </w:tcPr>
          <w:p w14:paraId="14F3628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93" w:type="dxa"/>
            <w:noWrap w:val="0"/>
            <w:vAlign w:val="center"/>
          </w:tcPr>
          <w:p w14:paraId="615DE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2232" w:type="dxa"/>
            <w:noWrap w:val="0"/>
            <w:vAlign w:val="center"/>
          </w:tcPr>
          <w:p w14:paraId="2B8E3A9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876" w:type="dxa"/>
            <w:gridSpan w:val="10"/>
            <w:noWrap w:val="0"/>
            <w:vAlign w:val="center"/>
          </w:tcPr>
          <w:p w14:paraId="178309E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21C3A3F">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以上为暂估运输量；运费结算按运输磅单最小值进行结算。</w:t>
            </w:r>
          </w:p>
          <w:p w14:paraId="0329BF7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6A2E5D3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如果运输过程中承运单位对询比采购单位对应的胶凝材料接收矿山造成经济损失，则造成一切费用由成交人赔付，同时对承运单位进行对应处罚。</w:t>
            </w:r>
          </w:p>
          <w:p w14:paraId="49EF48C9">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成交人一经接到成交通知书后，应立即进行对应配送工作，如果配送工作中出现不能按要求履约合同，将建立黑名单制，该成交人一年内不得参加我单位组织的询比价采购。</w:t>
            </w:r>
          </w:p>
          <w:p w14:paraId="72F02AB5">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合同期限：2026年1月1日至2026年12月31日。</w:t>
            </w:r>
          </w:p>
          <w:p w14:paraId="4033A17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销售价格赔偿损失，从承运单位当月运输费中双倍扣除。如承运单位在终点厂区发现过磅数据异常需及时跟甲方进行反馈。</w:t>
            </w:r>
          </w:p>
          <w:p w14:paraId="2957253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1）针对庐江矿业项目：保证金金额为人民币肆拾万元整（¥400,000.00）；（2)针对其他矿山项目：保证金金额为对应合同总金额的20%，安全履约保证金在合同终止且双方结算完毕后一个月内无息返还。</w:t>
            </w:r>
          </w:p>
        </w:tc>
      </w:tr>
    </w:tbl>
    <w:p w14:paraId="29E7AE45">
      <w:pPr>
        <w:spacing w:line="240" w:lineRule="auto"/>
        <w:rPr>
          <w:rFonts w:hint="eastAsia" w:ascii="仿宋" w:hAnsi="仿宋" w:eastAsia="仿宋" w:cs="仿宋"/>
          <w:color w:val="auto"/>
          <w:sz w:val="28"/>
          <w:szCs w:val="28"/>
          <w:highlight w:val="none"/>
          <w:u w:val="single"/>
        </w:rPr>
        <w:sectPr>
          <w:headerReference r:id="rId7" w:type="default"/>
          <w:pgSz w:w="16838" w:h="11906" w:orient="landscape"/>
          <w:pgMar w:top="1468" w:right="1417" w:bottom="846" w:left="141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2D427E89">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358A0D8E">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9FB0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辆类别：罐式粉状物料运输车，额定载重量不低于30吨；</w:t>
      </w:r>
    </w:p>
    <w:p w14:paraId="76371D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743AF9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13BA8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65E253C3">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54389623">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1、货物名称：矿山充填</w:t>
      </w:r>
      <w:r>
        <w:rPr>
          <w:rFonts w:hint="eastAsia" w:ascii="仿宋" w:hAnsi="仿宋" w:eastAsia="仿宋" w:cs="仿宋"/>
          <w:color w:val="auto"/>
          <w:sz w:val="24"/>
          <w:szCs w:val="24"/>
          <w:highlight w:val="none"/>
        </w:rPr>
        <w:t>胶凝材料</w:t>
      </w:r>
      <w:r>
        <w:rPr>
          <w:rFonts w:hint="eastAsia" w:ascii="仿宋" w:hAnsi="仿宋" w:eastAsia="仿宋" w:cs="仿宋"/>
          <w:color w:val="auto"/>
          <w:sz w:val="24"/>
          <w:szCs w:val="24"/>
          <w:highlight w:val="none"/>
          <w:lang w:eastAsia="zh-CN"/>
        </w:rPr>
        <w:t>；</w:t>
      </w:r>
    </w:p>
    <w:p w14:paraId="7B0116E9">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7508AA0E">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57ED36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甲方将部分外销产品运输发包给乙方,由乙方承包运输,乙方负责从甲方</w:t>
      </w:r>
      <w:r>
        <w:rPr>
          <w:rFonts w:hint="eastAsia" w:ascii="仿宋" w:hAnsi="仿宋" w:eastAsia="仿宋" w:cs="仿宋"/>
          <w:color w:val="auto"/>
          <w:sz w:val="24"/>
          <w:szCs w:val="24"/>
          <w:highlight w:val="none"/>
          <w:lang w:val="en-US" w:eastAsia="zh-CN"/>
        </w:rPr>
        <w:t>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p>
    <w:p w14:paraId="02553A5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终点：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5DD82D6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单》予以确定,乙方根据甲方《</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的交货地点完成货物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1FBF464B">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37FBA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1月  1  日至  2026  年 12 月 31 日。</w:t>
      </w:r>
    </w:p>
    <w:p w14:paraId="41B4F2C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68CE2E2C">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3C8CAD8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14:paraId="35F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14:paraId="6E6B3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2968" w:type="dxa"/>
            <w:noWrap w:val="0"/>
            <w:vAlign w:val="center"/>
          </w:tcPr>
          <w:p w14:paraId="5D92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3525" w:type="dxa"/>
            <w:noWrap w:val="0"/>
            <w:vAlign w:val="center"/>
          </w:tcPr>
          <w:p w14:paraId="6C7F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09E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5" w:type="dxa"/>
            <w:noWrap w:val="0"/>
            <w:vAlign w:val="center"/>
          </w:tcPr>
          <w:p w14:paraId="3C07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建材</w:t>
            </w:r>
            <w:r>
              <w:rPr>
                <w:rFonts w:hint="eastAsia" w:ascii="仿宋" w:hAnsi="仿宋" w:eastAsia="仿宋" w:cs="仿宋"/>
                <w:color w:val="auto"/>
                <w:sz w:val="24"/>
                <w:szCs w:val="24"/>
                <w:highlight w:val="none"/>
              </w:rPr>
              <w:t>成品</w:t>
            </w:r>
            <w:r>
              <w:rPr>
                <w:rFonts w:hint="eastAsia" w:ascii="仿宋" w:hAnsi="仿宋" w:eastAsia="仿宋" w:cs="仿宋"/>
                <w:color w:val="auto"/>
                <w:sz w:val="24"/>
                <w:szCs w:val="24"/>
                <w:highlight w:val="none"/>
                <w:lang w:val="en-US" w:eastAsia="zh-CN"/>
              </w:rPr>
              <w:t>料</w:t>
            </w:r>
            <w:r>
              <w:rPr>
                <w:rFonts w:hint="eastAsia" w:ascii="仿宋" w:hAnsi="仿宋" w:eastAsia="仿宋" w:cs="仿宋"/>
                <w:color w:val="auto"/>
                <w:sz w:val="24"/>
                <w:szCs w:val="24"/>
                <w:highlight w:val="none"/>
              </w:rPr>
              <w:t>仓</w:t>
            </w:r>
          </w:p>
        </w:tc>
        <w:tc>
          <w:tcPr>
            <w:tcW w:w="2968" w:type="dxa"/>
            <w:noWrap w:val="0"/>
            <w:vAlign w:val="center"/>
          </w:tcPr>
          <w:p w14:paraId="7E32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xxx公司料仓</w:t>
            </w:r>
          </w:p>
        </w:tc>
        <w:tc>
          <w:tcPr>
            <w:tcW w:w="3525" w:type="dxa"/>
            <w:noWrap w:val="0"/>
            <w:vAlign w:val="center"/>
          </w:tcPr>
          <w:p w14:paraId="138C7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bl>
    <w:p w14:paraId="6AC7ACC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注：以上单价含9%增值税，如遇税率调整，按税前单价调整执行。</w:t>
      </w:r>
    </w:p>
    <w:p w14:paraId="45A967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7022EA5C">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计量：乙方车辆进出甲方厂区时两次过磅计货物净重，在合理时间内需抵达运输终点厂区，完成全部承运货物的足额卸货，并在进出终点厂区两次过磅计货物净重。以两次磅单的较低者结算运费。</w:t>
      </w:r>
    </w:p>
    <w:p w14:paraId="444A45B4">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销售价格赔偿损失，从乙方当月运输费中扣除。如乙方在终点厂区发现过磅数据异常并及时跟甲方进行了反馈，确定是磅秤问题，可免于赔偿；如发现异常没有及时反馈，将按标准双倍进行赔偿。</w:t>
      </w:r>
    </w:p>
    <w:p w14:paraId="3228CF37">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7149CF8F">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98A46F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2、运输费支付：甲方按上月入账金额在次月支付</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u w:val="none"/>
          <w:lang w:val="en-US" w:eastAsia="zh-CN"/>
        </w:rPr>
        <w:t>，2027年2月10日（一周内）付至</w:t>
      </w:r>
      <w:r>
        <w:rPr>
          <w:rFonts w:hint="eastAsia" w:ascii="仿宋" w:hAnsi="仿宋" w:eastAsia="仿宋" w:cs="仿宋"/>
          <w:color w:val="auto"/>
          <w:sz w:val="24"/>
          <w:szCs w:val="24"/>
          <w:highlight w:val="none"/>
          <w:u w:val="single"/>
          <w:lang w:val="en-US" w:eastAsia="zh-CN"/>
        </w:rPr>
        <w:t xml:space="preserve"> 80% </w:t>
      </w:r>
      <w:r>
        <w:rPr>
          <w:rFonts w:hint="eastAsia" w:ascii="仿宋" w:hAnsi="仿宋" w:eastAsia="仿宋" w:cs="仿宋"/>
          <w:color w:val="auto"/>
          <w:sz w:val="24"/>
          <w:szCs w:val="24"/>
          <w:highlight w:val="none"/>
          <w:u w:val="none"/>
          <w:lang w:val="en-US" w:eastAsia="zh-CN"/>
        </w:rPr>
        <w:t>,余款2027年12月31日（一周内）付清。</w:t>
      </w:r>
    </w:p>
    <w:p w14:paraId="15FFA0D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 xml:space="preserve"> 2000元/次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w:t>
      </w:r>
      <w:r>
        <w:rPr>
          <w:rFonts w:hint="eastAsia" w:ascii="仿宋" w:hAnsi="仿宋" w:eastAsia="仿宋" w:cs="仿宋"/>
          <w:color w:val="auto"/>
          <w:sz w:val="24"/>
          <w:szCs w:val="24"/>
          <w:highlight w:val="none"/>
          <w:u w:val="single"/>
          <w:lang w:val="en-US" w:eastAsia="zh-CN"/>
        </w:rPr>
        <w:t xml:space="preserve"> 50%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0378B2C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64ABDA5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名称：铜陵铜冠建安新型环保建材科技有限公司；</w:t>
      </w:r>
    </w:p>
    <w:p w14:paraId="237B30E2">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纳税人识别号：91340700090790738A；</w:t>
      </w:r>
    </w:p>
    <w:p w14:paraId="74F01C3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地址、电话：安徽省铜陵市经济技术开发区、0562-5861530；</w:t>
      </w:r>
    </w:p>
    <w:p w14:paraId="1D8AC5CC">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开户行及账号：中国银行铜陵分行179725225176。</w:t>
      </w:r>
    </w:p>
    <w:p w14:paraId="7A24A1A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3404B8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164BF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02F4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609E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74122FC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F77AABA">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075703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2、甲方保证成品粉料下料管道完好。</w:t>
      </w:r>
    </w:p>
    <w:p w14:paraId="2C0DB50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3、甲方保证厂区内道路顺畅，司磅及时。</w:t>
      </w:r>
    </w:p>
    <w:p w14:paraId="2D022818">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4、甲方应</w:t>
      </w:r>
      <w:r>
        <w:rPr>
          <w:rFonts w:hint="eastAsia" w:ascii="仿宋" w:hAnsi="仿宋" w:eastAsia="仿宋" w:cs="仿宋"/>
          <w:color w:val="auto"/>
          <w:sz w:val="24"/>
          <w:szCs w:val="24"/>
          <w:highlight w:val="none"/>
          <w:lang w:val="en-US" w:eastAsia="zh-CN"/>
        </w:rPr>
        <w:t>在每天下午16:00前报送次日的配送计划，以便乙方及时安排运输车辆。</w:t>
      </w:r>
      <w:r>
        <w:rPr>
          <w:rFonts w:hint="eastAsia" w:ascii="仿宋" w:hAnsi="仿宋" w:eastAsia="仿宋" w:cs="仿宋"/>
          <w:color w:val="auto"/>
          <w:sz w:val="24"/>
          <w:szCs w:val="24"/>
          <w:highlight w:val="none"/>
        </w:rPr>
        <w:t xml:space="preserve">   </w:t>
      </w:r>
    </w:p>
    <w:p w14:paraId="45A1EA1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39D6878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5BC63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35CF2E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、为体现公平、公正，同时确保</w:t>
      </w:r>
      <w:r>
        <w:rPr>
          <w:rFonts w:hint="eastAsia" w:ascii="仿宋" w:hAnsi="仿宋" w:eastAsia="仿宋" w:cs="仿宋"/>
          <w:color w:val="auto"/>
          <w:sz w:val="24"/>
          <w:szCs w:val="24"/>
          <w:highlight w:val="none"/>
          <w:lang w:val="en-US" w:eastAsia="zh-CN"/>
        </w:rPr>
        <w:t>胶</w:t>
      </w:r>
      <w:r>
        <w:rPr>
          <w:rFonts w:hint="eastAsia" w:ascii="仿宋" w:hAnsi="仿宋" w:eastAsia="仿宋" w:cs="仿宋"/>
          <w:color w:val="auto"/>
          <w:sz w:val="24"/>
          <w:szCs w:val="24"/>
          <w:highlight w:val="none"/>
        </w:rPr>
        <w:t>凝材料运输工作的</w:t>
      </w:r>
      <w:r>
        <w:rPr>
          <w:rFonts w:hint="eastAsia" w:ascii="仿宋" w:hAnsi="仿宋" w:eastAsia="仿宋" w:cs="仿宋"/>
          <w:color w:val="auto"/>
          <w:sz w:val="24"/>
          <w:szCs w:val="24"/>
          <w:highlight w:val="none"/>
          <w:lang w:val="en-US" w:eastAsia="zh-CN"/>
        </w:rPr>
        <w:t>稳定</w:t>
      </w:r>
      <w:r>
        <w:rPr>
          <w:rFonts w:hint="eastAsia" w:ascii="仿宋" w:hAnsi="仿宋" w:eastAsia="仿宋" w:cs="仿宋"/>
          <w:color w:val="auto"/>
          <w:sz w:val="24"/>
          <w:szCs w:val="24"/>
          <w:highlight w:val="none"/>
        </w:rPr>
        <w:t>性，各投标单位一旦中标，我公司将把中标单位在本次招标中所提供的参与评标计分的自有车辆信息录入我公司管理系统。中标单位在后续执行合同的过程中，必须确保所报车辆投入到日常运输中使用。未足额使用前不允许使用本次投标所报车辆之外的车辆或从外部调用。由此造成的对执行合同运输任务的不利影响及一切损失，均由中标单位承担。同时我公司有终止合同的权利。</w:t>
      </w:r>
    </w:p>
    <w:p w14:paraId="6A990A2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3A9CA24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乙方车辆必须</w:t>
      </w:r>
      <w:r>
        <w:rPr>
          <w:rFonts w:hint="eastAsia" w:ascii="仿宋" w:hAnsi="仿宋" w:eastAsia="仿宋" w:cs="仿宋"/>
          <w:color w:val="auto"/>
          <w:sz w:val="24"/>
          <w:szCs w:val="24"/>
          <w:highlight w:val="none"/>
          <w:lang w:val="en-US" w:eastAsia="zh-CN"/>
        </w:rPr>
        <w:t>在0.5</w:t>
      </w:r>
      <w:r>
        <w:rPr>
          <w:rFonts w:hint="eastAsia" w:ascii="仿宋" w:hAnsi="仿宋" w:eastAsia="仿宋" w:cs="仿宋"/>
          <w:color w:val="auto"/>
          <w:sz w:val="24"/>
          <w:szCs w:val="24"/>
          <w:highlight w:val="none"/>
        </w:rPr>
        <w:t>小时内到货场装货,杜绝拒单现象。每延误一次装货，对乙方罚款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r>
        <w:rPr>
          <w:rFonts w:hint="eastAsia" w:ascii="仿宋" w:hAnsi="仿宋" w:eastAsia="仿宋" w:cs="仿宋"/>
          <w:color w:val="000000"/>
          <w:sz w:val="24"/>
          <w:szCs w:val="24"/>
          <w:highlight w:val="none"/>
          <w:lang w:val="en-US" w:eastAsia="zh-CN"/>
        </w:rPr>
        <w:t>。</w:t>
      </w:r>
    </w:p>
    <w:p w14:paraId="3B8542B5">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、乙方在装车前应对所装货物的品种、数量等进行认真确认。装车完毕,乙方人员必须现场与甲方工作人员办理货物提货确认手续。</w:t>
      </w:r>
    </w:p>
    <w:p w14:paraId="34BA6F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收货单位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说明</w:t>
      </w:r>
      <w:r>
        <w:rPr>
          <w:rFonts w:hint="eastAsia" w:ascii="仿宋" w:hAnsi="仿宋" w:eastAsia="仿宋" w:cs="仿宋"/>
          <w:color w:val="auto"/>
          <w:sz w:val="24"/>
          <w:szCs w:val="24"/>
          <w:highlight w:val="none"/>
        </w:rPr>
        <w:t>货物延迟原因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48BBAA2B">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货单位收货人签字确认工作。若因货物签收手续不清或无效而影响货款结算的,所造成的经济损失全部由乙方承担。</w:t>
      </w:r>
    </w:p>
    <w:p w14:paraId="3B1B0D7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无法与购货单位对帐，给甲方造成损失的,由乙方负责全额赔偿。</w:t>
      </w:r>
    </w:p>
    <w:p w14:paraId="3222C0C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3EA87A0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4B7D599F">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如果造成损失或甲方（含收货单位）因环保问题而受到处罚时乙方应承担全部责任并全额赔偿损失</w:t>
      </w:r>
      <w:r>
        <w:rPr>
          <w:rFonts w:hint="eastAsia" w:ascii="仿宋" w:hAnsi="仿宋" w:eastAsia="仿宋" w:cs="仿宋"/>
          <w:color w:val="auto"/>
          <w:sz w:val="24"/>
          <w:szCs w:val="24"/>
          <w:highlight w:val="none"/>
        </w:rPr>
        <w:t>。</w:t>
      </w:r>
    </w:p>
    <w:p w14:paraId="48D1F7A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53E8A53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车辆进入甲方厂区及周边区域内，受甲方管理规定约束。乙方车辆进入运输终点厂区及周边区域内，受运输终点所在单位管理规定约束。发生违规情况，按相关规定予以处罚。乙方不得以对相关管理规定不熟悉为由要求免于处罚。</w:t>
      </w:r>
    </w:p>
    <w:p w14:paraId="5842284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14、乙方使用自有车辆运输胶凝材料，车辆必须在甲方备案。如需使用第三方车辆，须经甲方同意。</w:t>
      </w:r>
    </w:p>
    <w:p w14:paraId="6D2C390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2768E23E">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；如乙方不服从甲方（或甲方客户）管理，给甲方造成重大损失（5万元及以上的），甲方有权终止合同，并扣除乙方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57E13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458A813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1、为保证合同的严格履行,乙方应在本合同签订之日起7个</w:t>
      </w:r>
      <w:r>
        <w:rPr>
          <w:rFonts w:hint="eastAsia" w:ascii="仿宋" w:hAnsi="仿宋" w:eastAsia="仿宋" w:cs="仿宋"/>
          <w:color w:val="auto"/>
          <w:sz w:val="24"/>
          <w:szCs w:val="24"/>
          <w:highlight w:val="none"/>
          <w:lang w:val="en-US" w:eastAsia="zh-CN"/>
        </w:rPr>
        <w:t>工作日</w:t>
      </w:r>
      <w:r>
        <w:rPr>
          <w:rFonts w:hint="eastAsia" w:ascii="仿宋" w:hAnsi="仿宋" w:eastAsia="仿宋" w:cs="仿宋"/>
          <w:color w:val="auto"/>
          <w:sz w:val="24"/>
          <w:szCs w:val="24"/>
          <w:highlight w:val="none"/>
        </w:rPr>
        <w:t>内，向甲方足额缴纳安全履约保证金，具体标准如下</w:t>
      </w:r>
      <w:r>
        <w:rPr>
          <w:rFonts w:hint="eastAsia" w:ascii="仿宋" w:hAnsi="仿宋" w:eastAsia="仿宋" w:cs="仿宋"/>
          <w:color w:val="auto"/>
          <w:sz w:val="24"/>
          <w:szCs w:val="24"/>
          <w:highlight w:val="none"/>
          <w:lang w:eastAsia="zh-CN"/>
        </w:rPr>
        <w:t>。</w:t>
      </w:r>
    </w:p>
    <w:p w14:paraId="00B69D7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（1）针对庐江矿业项目：保证金金额为人民币肆拾万元整（¥400,000.00）；</w:t>
      </w:r>
    </w:p>
    <w:p w14:paraId="04FD1E1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（2)针对其他矿山项目：保证金金额为对应合同总金额的20%。</w:t>
      </w:r>
    </w:p>
    <w:p w14:paraId="20208E24">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BDF62D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77B15BC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1E708A9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3CEB428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397DF4D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66E2DBC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4、合同期内，</w:t>
      </w:r>
      <w:r>
        <w:rPr>
          <w:rFonts w:hint="eastAsia" w:ascii="仿宋" w:hAnsi="仿宋" w:eastAsia="仿宋" w:cs="仿宋"/>
          <w:color w:val="auto"/>
          <w:sz w:val="24"/>
          <w:szCs w:val="24"/>
          <w:highlight w:val="none"/>
          <w:lang w:eastAsia="zh-CN"/>
        </w:rPr>
        <w:t>如若市场油价较</w:t>
      </w:r>
      <w:r>
        <w:rPr>
          <w:rFonts w:hint="eastAsia" w:ascii="仿宋" w:hAnsi="仿宋" w:eastAsia="仿宋" w:cs="仿宋"/>
          <w:b/>
          <w:bCs/>
          <w:color w:val="auto"/>
          <w:sz w:val="24"/>
          <w:szCs w:val="24"/>
          <w:highlight w:val="none"/>
          <w:lang w:val="en-US" w:eastAsia="zh-CN"/>
        </w:rPr>
        <w:t>本次竞价比价</w:t>
      </w:r>
      <w:r>
        <w:rPr>
          <w:rFonts w:hint="eastAsia" w:ascii="仿宋" w:hAnsi="仿宋" w:eastAsia="仿宋" w:cs="仿宋"/>
          <w:b/>
          <w:bCs/>
          <w:color w:val="auto"/>
          <w:sz w:val="24"/>
          <w:szCs w:val="24"/>
          <w:highlight w:val="none"/>
          <w:lang w:eastAsia="zh-CN"/>
        </w:rPr>
        <w:t>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油价</w:t>
      </w:r>
      <w:r>
        <w:rPr>
          <w:rFonts w:hint="eastAsia" w:ascii="仿宋" w:hAnsi="仿宋" w:eastAsia="仿宋" w:cs="仿宋"/>
          <w:color w:val="auto"/>
          <w:sz w:val="24"/>
          <w:szCs w:val="24"/>
          <w:highlight w:val="none"/>
          <w:lang w:eastAsia="zh-CN"/>
        </w:rPr>
        <w:t>涨跌幅度</w:t>
      </w:r>
      <w:r>
        <w:rPr>
          <w:rFonts w:hint="eastAsia" w:ascii="仿宋" w:hAnsi="仿宋" w:eastAsia="仿宋" w:cs="仿宋"/>
          <w:color w:val="auto"/>
          <w:sz w:val="24"/>
          <w:szCs w:val="24"/>
          <w:highlight w:val="none"/>
          <w:lang w:val="en-US" w:eastAsia="zh-CN"/>
        </w:rPr>
        <w:t>达1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lang w:eastAsia="zh-CN"/>
        </w:rPr>
        <w:t>，因此导致运输成本增加</w:t>
      </w:r>
      <w:r>
        <w:rPr>
          <w:rFonts w:hint="eastAsia" w:ascii="仿宋" w:hAnsi="仿宋" w:eastAsia="仿宋" w:cs="仿宋"/>
          <w:color w:val="auto"/>
          <w:sz w:val="24"/>
          <w:szCs w:val="24"/>
          <w:highlight w:val="none"/>
          <w:lang w:val="en-US" w:eastAsia="zh-CN"/>
        </w:rPr>
        <w:t>/减少</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在结算基价基础上按下列标准进行调整：</w:t>
      </w:r>
    </w:p>
    <w:tbl>
      <w:tblPr>
        <w:tblStyle w:val="46"/>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68AE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65" w:type="dxa"/>
            <w:noWrap w:val="0"/>
            <w:vAlign w:val="center"/>
          </w:tcPr>
          <w:p w14:paraId="6086A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497B1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7BBD5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34F23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2502B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1C41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965" w:type="dxa"/>
            <w:vMerge w:val="restart"/>
            <w:noWrap w:val="0"/>
            <w:vAlign w:val="center"/>
          </w:tcPr>
          <w:p w14:paraId="569CC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50EC0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7764F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E984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0C063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2F2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5" w:type="dxa"/>
            <w:vMerge w:val="continue"/>
            <w:noWrap w:val="0"/>
            <w:vAlign w:val="center"/>
          </w:tcPr>
          <w:p w14:paraId="53AF0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6797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07E8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6B52B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02B61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2A7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886" w:type="dxa"/>
            <w:gridSpan w:val="5"/>
            <w:noWrap w:val="0"/>
            <w:vAlign w:val="center"/>
          </w:tcPr>
          <w:p w14:paraId="6585F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034826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2612097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90AD03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pgSz w:w="11906" w:h="16838"/>
      <w:pgMar w:top="1417" w:right="846"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胶凝材料运输询比采购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胶凝材料运输询比采购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05B1">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胶凝材料运输询比采购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34A3CF8"/>
    <w:multiLevelType w:val="singleLevel"/>
    <w:tmpl w:val="034A3CF8"/>
    <w:lvl w:ilvl="0" w:tentative="0">
      <w:start w:val="13"/>
      <w:numFmt w:val="chineseCounting"/>
      <w:suff w:val="nothing"/>
      <w:lvlText w:val="%1、"/>
      <w:lvlJc w:val="left"/>
      <w:rPr>
        <w:rFonts w:hint="eastAsia"/>
      </w:r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637ADBB"/>
    <w:multiLevelType w:val="singleLevel"/>
    <w:tmpl w:val="4637ADBB"/>
    <w:lvl w:ilvl="0" w:tentative="0">
      <w:start w:val="9"/>
      <w:numFmt w:val="chineseCounting"/>
      <w:suff w:val="nothing"/>
      <w:lvlText w:val="%1、"/>
      <w:lvlJc w:val="left"/>
      <w:rPr>
        <w:rFonts w:hint="eastAsia"/>
      </w:rPr>
    </w:lvl>
  </w:abstractNum>
  <w:num w:numId="1">
    <w:abstractNumId w:val="6"/>
  </w:num>
  <w:num w:numId="2">
    <w:abstractNumId w:val="3"/>
  </w:num>
  <w:num w:numId="3">
    <w:abstractNumId w:val="7"/>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2A6766"/>
    <w:rsid w:val="025370AD"/>
    <w:rsid w:val="02696283"/>
    <w:rsid w:val="02DD1A2B"/>
    <w:rsid w:val="0301396B"/>
    <w:rsid w:val="031C2553"/>
    <w:rsid w:val="039667A9"/>
    <w:rsid w:val="03980C9F"/>
    <w:rsid w:val="03E75026"/>
    <w:rsid w:val="04324B28"/>
    <w:rsid w:val="0479149D"/>
    <w:rsid w:val="04CF6EEC"/>
    <w:rsid w:val="05103A0B"/>
    <w:rsid w:val="05393890"/>
    <w:rsid w:val="055204AE"/>
    <w:rsid w:val="059565ED"/>
    <w:rsid w:val="05BF33B5"/>
    <w:rsid w:val="05EB48F5"/>
    <w:rsid w:val="06093262"/>
    <w:rsid w:val="06587D46"/>
    <w:rsid w:val="067D01D2"/>
    <w:rsid w:val="068C3E93"/>
    <w:rsid w:val="06B01930"/>
    <w:rsid w:val="06D33870"/>
    <w:rsid w:val="07091040"/>
    <w:rsid w:val="072F12C0"/>
    <w:rsid w:val="07306784"/>
    <w:rsid w:val="074958E1"/>
    <w:rsid w:val="084A3F14"/>
    <w:rsid w:val="086B7EE6"/>
    <w:rsid w:val="08FD6983"/>
    <w:rsid w:val="08FF094D"/>
    <w:rsid w:val="091837BC"/>
    <w:rsid w:val="098B6DD1"/>
    <w:rsid w:val="09A3577C"/>
    <w:rsid w:val="09E06401"/>
    <w:rsid w:val="0A026946"/>
    <w:rsid w:val="0A231745"/>
    <w:rsid w:val="0A9B46A5"/>
    <w:rsid w:val="0A9E1234"/>
    <w:rsid w:val="0AA7731A"/>
    <w:rsid w:val="0B1B65D7"/>
    <w:rsid w:val="0B2B537E"/>
    <w:rsid w:val="0B512FB6"/>
    <w:rsid w:val="0B6D6042"/>
    <w:rsid w:val="0BBA0AF6"/>
    <w:rsid w:val="0BEC5846"/>
    <w:rsid w:val="0BFF2A12"/>
    <w:rsid w:val="0C084B3C"/>
    <w:rsid w:val="0C3D1EB8"/>
    <w:rsid w:val="0C6241B2"/>
    <w:rsid w:val="0C742CC6"/>
    <w:rsid w:val="0D166265"/>
    <w:rsid w:val="0D2B4E23"/>
    <w:rsid w:val="0D692839"/>
    <w:rsid w:val="0DCB52A1"/>
    <w:rsid w:val="0DD95C10"/>
    <w:rsid w:val="0E1327A4"/>
    <w:rsid w:val="0E3E5A73"/>
    <w:rsid w:val="0E6F3E7F"/>
    <w:rsid w:val="0E745939"/>
    <w:rsid w:val="0E8044EC"/>
    <w:rsid w:val="0E876D2F"/>
    <w:rsid w:val="0EB21FBD"/>
    <w:rsid w:val="0EC82FD7"/>
    <w:rsid w:val="0EDB1514"/>
    <w:rsid w:val="0EF425D6"/>
    <w:rsid w:val="0F352373"/>
    <w:rsid w:val="0F4470B9"/>
    <w:rsid w:val="0F7A0D2D"/>
    <w:rsid w:val="0F953DB9"/>
    <w:rsid w:val="0FCD3553"/>
    <w:rsid w:val="10181623"/>
    <w:rsid w:val="10476584"/>
    <w:rsid w:val="106C38E3"/>
    <w:rsid w:val="11196324"/>
    <w:rsid w:val="11427629"/>
    <w:rsid w:val="1195471E"/>
    <w:rsid w:val="11B739DA"/>
    <w:rsid w:val="11C20769"/>
    <w:rsid w:val="12083F5F"/>
    <w:rsid w:val="121A2EB4"/>
    <w:rsid w:val="122338FE"/>
    <w:rsid w:val="122F7967"/>
    <w:rsid w:val="125E4C7B"/>
    <w:rsid w:val="1286785F"/>
    <w:rsid w:val="12883761"/>
    <w:rsid w:val="12A820AD"/>
    <w:rsid w:val="12D25F7C"/>
    <w:rsid w:val="13F53078"/>
    <w:rsid w:val="149B034A"/>
    <w:rsid w:val="14AE3227"/>
    <w:rsid w:val="1500314F"/>
    <w:rsid w:val="15721970"/>
    <w:rsid w:val="15802E15"/>
    <w:rsid w:val="16D01498"/>
    <w:rsid w:val="16FF7D6A"/>
    <w:rsid w:val="1715758D"/>
    <w:rsid w:val="172F68A1"/>
    <w:rsid w:val="178D16D0"/>
    <w:rsid w:val="17C837F7"/>
    <w:rsid w:val="17D86D23"/>
    <w:rsid w:val="1830291B"/>
    <w:rsid w:val="18504D21"/>
    <w:rsid w:val="187417C5"/>
    <w:rsid w:val="18AF15FD"/>
    <w:rsid w:val="18DE057F"/>
    <w:rsid w:val="196038C1"/>
    <w:rsid w:val="198C1092"/>
    <w:rsid w:val="19CA6206"/>
    <w:rsid w:val="1A2F05AD"/>
    <w:rsid w:val="1ABC669E"/>
    <w:rsid w:val="1AE5658C"/>
    <w:rsid w:val="1B1C0EEA"/>
    <w:rsid w:val="1B7B6D63"/>
    <w:rsid w:val="1BBF797C"/>
    <w:rsid w:val="1BFB18C8"/>
    <w:rsid w:val="1C24274C"/>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8C282B"/>
    <w:rsid w:val="1F855971"/>
    <w:rsid w:val="20191E9C"/>
    <w:rsid w:val="2037683E"/>
    <w:rsid w:val="20711CD8"/>
    <w:rsid w:val="20B22562"/>
    <w:rsid w:val="20F57ADE"/>
    <w:rsid w:val="21820D0A"/>
    <w:rsid w:val="21A61547"/>
    <w:rsid w:val="21EF60F0"/>
    <w:rsid w:val="225C0752"/>
    <w:rsid w:val="23412FE6"/>
    <w:rsid w:val="236C49D9"/>
    <w:rsid w:val="23771391"/>
    <w:rsid w:val="237A7171"/>
    <w:rsid w:val="23FC26F5"/>
    <w:rsid w:val="24613E12"/>
    <w:rsid w:val="246E6DF4"/>
    <w:rsid w:val="24CA19B7"/>
    <w:rsid w:val="24F240EB"/>
    <w:rsid w:val="25397BCB"/>
    <w:rsid w:val="25590EC9"/>
    <w:rsid w:val="257F27A2"/>
    <w:rsid w:val="25F34F3E"/>
    <w:rsid w:val="25F7787F"/>
    <w:rsid w:val="261A071C"/>
    <w:rsid w:val="26211AAB"/>
    <w:rsid w:val="26996894"/>
    <w:rsid w:val="26A26CEB"/>
    <w:rsid w:val="2755433D"/>
    <w:rsid w:val="27982240"/>
    <w:rsid w:val="27F95E40"/>
    <w:rsid w:val="28F6721F"/>
    <w:rsid w:val="291412D4"/>
    <w:rsid w:val="29492BAC"/>
    <w:rsid w:val="295D3061"/>
    <w:rsid w:val="29606D8E"/>
    <w:rsid w:val="297E0FC2"/>
    <w:rsid w:val="299D4A4C"/>
    <w:rsid w:val="29A812EF"/>
    <w:rsid w:val="2A1902C2"/>
    <w:rsid w:val="2A9C0C1B"/>
    <w:rsid w:val="2B0D1570"/>
    <w:rsid w:val="2B532F4F"/>
    <w:rsid w:val="2BFD6B16"/>
    <w:rsid w:val="2C64541C"/>
    <w:rsid w:val="2C7C5C8D"/>
    <w:rsid w:val="2C995D0F"/>
    <w:rsid w:val="2CB66EF7"/>
    <w:rsid w:val="2D263E4A"/>
    <w:rsid w:val="2D3E7816"/>
    <w:rsid w:val="2D6706EB"/>
    <w:rsid w:val="2D774259"/>
    <w:rsid w:val="2E187F9D"/>
    <w:rsid w:val="2E3873C6"/>
    <w:rsid w:val="2EC12D59"/>
    <w:rsid w:val="2ECE6548"/>
    <w:rsid w:val="2F1523C9"/>
    <w:rsid w:val="2F29557C"/>
    <w:rsid w:val="2F6101B9"/>
    <w:rsid w:val="2F6C023B"/>
    <w:rsid w:val="30131353"/>
    <w:rsid w:val="30293393"/>
    <w:rsid w:val="302E70B5"/>
    <w:rsid w:val="30395C43"/>
    <w:rsid w:val="303B19BB"/>
    <w:rsid w:val="306204E7"/>
    <w:rsid w:val="30C21E68"/>
    <w:rsid w:val="30D974B7"/>
    <w:rsid w:val="30E96026"/>
    <w:rsid w:val="311F3E7F"/>
    <w:rsid w:val="314948D9"/>
    <w:rsid w:val="31B9528D"/>
    <w:rsid w:val="322D17D7"/>
    <w:rsid w:val="325A51BE"/>
    <w:rsid w:val="3289567B"/>
    <w:rsid w:val="32BC4E50"/>
    <w:rsid w:val="331E0F20"/>
    <w:rsid w:val="333663C1"/>
    <w:rsid w:val="33482D6D"/>
    <w:rsid w:val="33703A4F"/>
    <w:rsid w:val="337445C0"/>
    <w:rsid w:val="338F274A"/>
    <w:rsid w:val="339C621D"/>
    <w:rsid w:val="33D3159C"/>
    <w:rsid w:val="34284F5F"/>
    <w:rsid w:val="345637D1"/>
    <w:rsid w:val="346848DB"/>
    <w:rsid w:val="34F52A80"/>
    <w:rsid w:val="3529097C"/>
    <w:rsid w:val="354F3A99"/>
    <w:rsid w:val="357B16F3"/>
    <w:rsid w:val="36050FAB"/>
    <w:rsid w:val="36145188"/>
    <w:rsid w:val="362178A5"/>
    <w:rsid w:val="36227ADF"/>
    <w:rsid w:val="36511F38"/>
    <w:rsid w:val="36681030"/>
    <w:rsid w:val="367256CF"/>
    <w:rsid w:val="36794B8A"/>
    <w:rsid w:val="36CA1CEB"/>
    <w:rsid w:val="36DE1211"/>
    <w:rsid w:val="373B612C"/>
    <w:rsid w:val="37AF03D6"/>
    <w:rsid w:val="37B60ABE"/>
    <w:rsid w:val="37EE64F4"/>
    <w:rsid w:val="37FC4126"/>
    <w:rsid w:val="382E02B2"/>
    <w:rsid w:val="3872263A"/>
    <w:rsid w:val="38784692"/>
    <w:rsid w:val="38C64059"/>
    <w:rsid w:val="38C74734"/>
    <w:rsid w:val="38F1355F"/>
    <w:rsid w:val="39934616"/>
    <w:rsid w:val="39DC7C3B"/>
    <w:rsid w:val="3A103EB8"/>
    <w:rsid w:val="3A3173ED"/>
    <w:rsid w:val="3A4E69FC"/>
    <w:rsid w:val="3A611480"/>
    <w:rsid w:val="3A7A3727"/>
    <w:rsid w:val="3AA52853"/>
    <w:rsid w:val="3AC56A51"/>
    <w:rsid w:val="3ACD3B57"/>
    <w:rsid w:val="3B076549"/>
    <w:rsid w:val="3B5009B4"/>
    <w:rsid w:val="3B645DB3"/>
    <w:rsid w:val="3BDF4B21"/>
    <w:rsid w:val="3BE92C13"/>
    <w:rsid w:val="3C1A7270"/>
    <w:rsid w:val="3C5B75D3"/>
    <w:rsid w:val="3C7823C8"/>
    <w:rsid w:val="3CB46D7D"/>
    <w:rsid w:val="3D3A7C13"/>
    <w:rsid w:val="3D74650C"/>
    <w:rsid w:val="3DB159B2"/>
    <w:rsid w:val="3DC57BD0"/>
    <w:rsid w:val="3DCB0822"/>
    <w:rsid w:val="3DCC4487"/>
    <w:rsid w:val="3E474521"/>
    <w:rsid w:val="3EF47B3D"/>
    <w:rsid w:val="3F1F079B"/>
    <w:rsid w:val="3F2E470A"/>
    <w:rsid w:val="3F7B75DE"/>
    <w:rsid w:val="3F8D52CA"/>
    <w:rsid w:val="3F953A3C"/>
    <w:rsid w:val="3F9D61EE"/>
    <w:rsid w:val="3FCA68B7"/>
    <w:rsid w:val="40C47A67"/>
    <w:rsid w:val="412D70FE"/>
    <w:rsid w:val="414D3E27"/>
    <w:rsid w:val="41525675"/>
    <w:rsid w:val="419D4283"/>
    <w:rsid w:val="41AA074E"/>
    <w:rsid w:val="41B46B47"/>
    <w:rsid w:val="41EC6FB9"/>
    <w:rsid w:val="424B79E0"/>
    <w:rsid w:val="4252770E"/>
    <w:rsid w:val="427D651B"/>
    <w:rsid w:val="42A70A2B"/>
    <w:rsid w:val="42F63800"/>
    <w:rsid w:val="4304767F"/>
    <w:rsid w:val="43293E9E"/>
    <w:rsid w:val="434963F7"/>
    <w:rsid w:val="438A4CDB"/>
    <w:rsid w:val="439F612A"/>
    <w:rsid w:val="43A538C3"/>
    <w:rsid w:val="43C84B06"/>
    <w:rsid w:val="43CB5281"/>
    <w:rsid w:val="43F74F20"/>
    <w:rsid w:val="441344E9"/>
    <w:rsid w:val="44842956"/>
    <w:rsid w:val="449E657A"/>
    <w:rsid w:val="44B922E9"/>
    <w:rsid w:val="454315E6"/>
    <w:rsid w:val="455410FD"/>
    <w:rsid w:val="45D43FEC"/>
    <w:rsid w:val="45EF7078"/>
    <w:rsid w:val="46045E94"/>
    <w:rsid w:val="4642189D"/>
    <w:rsid w:val="464949DA"/>
    <w:rsid w:val="465E02D2"/>
    <w:rsid w:val="466979AB"/>
    <w:rsid w:val="46B37FF9"/>
    <w:rsid w:val="471400CF"/>
    <w:rsid w:val="472C3839"/>
    <w:rsid w:val="47944AB8"/>
    <w:rsid w:val="48BF72F3"/>
    <w:rsid w:val="490E63A6"/>
    <w:rsid w:val="499C3073"/>
    <w:rsid w:val="499D4ACB"/>
    <w:rsid w:val="49EC0EA9"/>
    <w:rsid w:val="4A1C7E79"/>
    <w:rsid w:val="4A1E59B7"/>
    <w:rsid w:val="4AA04DE4"/>
    <w:rsid w:val="4B0C67B3"/>
    <w:rsid w:val="4BA803F5"/>
    <w:rsid w:val="4BBA0128"/>
    <w:rsid w:val="4C0C763A"/>
    <w:rsid w:val="4C9B1D07"/>
    <w:rsid w:val="4CBA4AF2"/>
    <w:rsid w:val="4CCA439B"/>
    <w:rsid w:val="4CEB320D"/>
    <w:rsid w:val="4D0647CF"/>
    <w:rsid w:val="4D9F7BB9"/>
    <w:rsid w:val="4DA8143A"/>
    <w:rsid w:val="4E45017D"/>
    <w:rsid w:val="4E791BD4"/>
    <w:rsid w:val="4E822997"/>
    <w:rsid w:val="4ED20DFA"/>
    <w:rsid w:val="4F0F5DA2"/>
    <w:rsid w:val="4F397E6D"/>
    <w:rsid w:val="4F464194"/>
    <w:rsid w:val="4F764499"/>
    <w:rsid w:val="4FA72771"/>
    <w:rsid w:val="4FD33681"/>
    <w:rsid w:val="504C2BE7"/>
    <w:rsid w:val="505446A7"/>
    <w:rsid w:val="505C17AE"/>
    <w:rsid w:val="50B629DB"/>
    <w:rsid w:val="513756A7"/>
    <w:rsid w:val="516923D4"/>
    <w:rsid w:val="51750D79"/>
    <w:rsid w:val="51825669"/>
    <w:rsid w:val="5196753F"/>
    <w:rsid w:val="519A433C"/>
    <w:rsid w:val="51B50E5A"/>
    <w:rsid w:val="51F67AC6"/>
    <w:rsid w:val="52534714"/>
    <w:rsid w:val="526C1FF2"/>
    <w:rsid w:val="5322748C"/>
    <w:rsid w:val="53810440"/>
    <w:rsid w:val="538C532D"/>
    <w:rsid w:val="53BA6E40"/>
    <w:rsid w:val="54243352"/>
    <w:rsid w:val="54C17E31"/>
    <w:rsid w:val="554830C1"/>
    <w:rsid w:val="554A6079"/>
    <w:rsid w:val="557B0928"/>
    <w:rsid w:val="561D5CBD"/>
    <w:rsid w:val="56300C76"/>
    <w:rsid w:val="563F3E8D"/>
    <w:rsid w:val="5641748B"/>
    <w:rsid w:val="56424FA2"/>
    <w:rsid w:val="56B4262E"/>
    <w:rsid w:val="56F75D8C"/>
    <w:rsid w:val="573963A5"/>
    <w:rsid w:val="575B631B"/>
    <w:rsid w:val="576158FB"/>
    <w:rsid w:val="579C59EC"/>
    <w:rsid w:val="57A05D18"/>
    <w:rsid w:val="57AD55DD"/>
    <w:rsid w:val="5807041D"/>
    <w:rsid w:val="583F79D3"/>
    <w:rsid w:val="58691989"/>
    <w:rsid w:val="58873140"/>
    <w:rsid w:val="58C048EF"/>
    <w:rsid w:val="58C6010C"/>
    <w:rsid w:val="58F960F8"/>
    <w:rsid w:val="594F7761"/>
    <w:rsid w:val="59672964"/>
    <w:rsid w:val="59900C4D"/>
    <w:rsid w:val="599C0E6D"/>
    <w:rsid w:val="59C935F6"/>
    <w:rsid w:val="59CC52AE"/>
    <w:rsid w:val="59EB395B"/>
    <w:rsid w:val="5A251A57"/>
    <w:rsid w:val="5A625C12"/>
    <w:rsid w:val="5A697C7E"/>
    <w:rsid w:val="5A947382"/>
    <w:rsid w:val="5A9D4E9D"/>
    <w:rsid w:val="5ABC477B"/>
    <w:rsid w:val="5AD47530"/>
    <w:rsid w:val="5B2D7FCE"/>
    <w:rsid w:val="5B5437AD"/>
    <w:rsid w:val="5B750193"/>
    <w:rsid w:val="5B7976B8"/>
    <w:rsid w:val="5BC14BBB"/>
    <w:rsid w:val="5C13016C"/>
    <w:rsid w:val="5C1E1084"/>
    <w:rsid w:val="5C775650"/>
    <w:rsid w:val="5C974AF9"/>
    <w:rsid w:val="5CCB7A9F"/>
    <w:rsid w:val="5CF3349A"/>
    <w:rsid w:val="5D0134C1"/>
    <w:rsid w:val="5D2E44D2"/>
    <w:rsid w:val="5D46181B"/>
    <w:rsid w:val="5D6F64C5"/>
    <w:rsid w:val="5DBE13B2"/>
    <w:rsid w:val="5DF9063C"/>
    <w:rsid w:val="5E017E34"/>
    <w:rsid w:val="5E4044BD"/>
    <w:rsid w:val="5E6C7060"/>
    <w:rsid w:val="5ED81A2D"/>
    <w:rsid w:val="5F1712EB"/>
    <w:rsid w:val="5FB567E4"/>
    <w:rsid w:val="60065292"/>
    <w:rsid w:val="601B5879"/>
    <w:rsid w:val="60A96349"/>
    <w:rsid w:val="60F035C2"/>
    <w:rsid w:val="610267D6"/>
    <w:rsid w:val="610D4DEA"/>
    <w:rsid w:val="616C0C8E"/>
    <w:rsid w:val="61AB07CC"/>
    <w:rsid w:val="61C3168D"/>
    <w:rsid w:val="61E73476"/>
    <w:rsid w:val="624F4CCE"/>
    <w:rsid w:val="626C4E3A"/>
    <w:rsid w:val="62944DD7"/>
    <w:rsid w:val="62AA63A9"/>
    <w:rsid w:val="62B53CBA"/>
    <w:rsid w:val="62DA4EE0"/>
    <w:rsid w:val="6332455D"/>
    <w:rsid w:val="63584057"/>
    <w:rsid w:val="63DD2403"/>
    <w:rsid w:val="63E45615"/>
    <w:rsid w:val="642E3C33"/>
    <w:rsid w:val="646474F6"/>
    <w:rsid w:val="65891471"/>
    <w:rsid w:val="66131908"/>
    <w:rsid w:val="66662DAE"/>
    <w:rsid w:val="66757ADA"/>
    <w:rsid w:val="66CB6466"/>
    <w:rsid w:val="66E03A9F"/>
    <w:rsid w:val="66F57FEB"/>
    <w:rsid w:val="672901E4"/>
    <w:rsid w:val="67445ADA"/>
    <w:rsid w:val="677376B1"/>
    <w:rsid w:val="67D15122"/>
    <w:rsid w:val="685968A7"/>
    <w:rsid w:val="68761B8F"/>
    <w:rsid w:val="68CF0917"/>
    <w:rsid w:val="690C1B6B"/>
    <w:rsid w:val="691E53FA"/>
    <w:rsid w:val="692549DB"/>
    <w:rsid w:val="693602C7"/>
    <w:rsid w:val="693E20EC"/>
    <w:rsid w:val="694E41F6"/>
    <w:rsid w:val="6981796A"/>
    <w:rsid w:val="69AD4D95"/>
    <w:rsid w:val="69D106BF"/>
    <w:rsid w:val="69E60D0A"/>
    <w:rsid w:val="6A315ABB"/>
    <w:rsid w:val="6A7F2C51"/>
    <w:rsid w:val="6A87598F"/>
    <w:rsid w:val="6A9A513C"/>
    <w:rsid w:val="6AB37DC4"/>
    <w:rsid w:val="6ACB3360"/>
    <w:rsid w:val="6AED777A"/>
    <w:rsid w:val="6B1F2406"/>
    <w:rsid w:val="6B302BB3"/>
    <w:rsid w:val="6B56531F"/>
    <w:rsid w:val="6B9B2799"/>
    <w:rsid w:val="6C315445"/>
    <w:rsid w:val="6C5C5C5B"/>
    <w:rsid w:val="6C717289"/>
    <w:rsid w:val="6CC60759"/>
    <w:rsid w:val="6CD7423E"/>
    <w:rsid w:val="6CF90658"/>
    <w:rsid w:val="6D1D0187"/>
    <w:rsid w:val="6D505D9E"/>
    <w:rsid w:val="6DA24149"/>
    <w:rsid w:val="6DFD7CD4"/>
    <w:rsid w:val="6E1119D2"/>
    <w:rsid w:val="6E4C64BB"/>
    <w:rsid w:val="6E4D09A9"/>
    <w:rsid w:val="6E7D0E15"/>
    <w:rsid w:val="6EAE74F5"/>
    <w:rsid w:val="6EC238BC"/>
    <w:rsid w:val="6ED21161"/>
    <w:rsid w:val="6F0B6C96"/>
    <w:rsid w:val="6F1928EC"/>
    <w:rsid w:val="6F285FE2"/>
    <w:rsid w:val="6F2A019B"/>
    <w:rsid w:val="6F6A27B8"/>
    <w:rsid w:val="6F865AA7"/>
    <w:rsid w:val="6FA67EF8"/>
    <w:rsid w:val="6FC0545D"/>
    <w:rsid w:val="6FD809F9"/>
    <w:rsid w:val="6FE32681"/>
    <w:rsid w:val="701F3363"/>
    <w:rsid w:val="703849D5"/>
    <w:rsid w:val="705F4C76"/>
    <w:rsid w:val="706A53C9"/>
    <w:rsid w:val="70712092"/>
    <w:rsid w:val="70912956"/>
    <w:rsid w:val="70BC3E77"/>
    <w:rsid w:val="70E62CA2"/>
    <w:rsid w:val="71091B6B"/>
    <w:rsid w:val="711712EF"/>
    <w:rsid w:val="71350F39"/>
    <w:rsid w:val="71900E5F"/>
    <w:rsid w:val="71956476"/>
    <w:rsid w:val="72155D12"/>
    <w:rsid w:val="72C2329A"/>
    <w:rsid w:val="73BE1EBD"/>
    <w:rsid w:val="742F60FC"/>
    <w:rsid w:val="74924E27"/>
    <w:rsid w:val="749B0247"/>
    <w:rsid w:val="74B57A97"/>
    <w:rsid w:val="74B74AC3"/>
    <w:rsid w:val="74C4154C"/>
    <w:rsid w:val="750D4B8A"/>
    <w:rsid w:val="75271ADB"/>
    <w:rsid w:val="75363862"/>
    <w:rsid w:val="75A66EA3"/>
    <w:rsid w:val="75A924F0"/>
    <w:rsid w:val="75AB7FC4"/>
    <w:rsid w:val="75BA021D"/>
    <w:rsid w:val="75C4732A"/>
    <w:rsid w:val="75E579CC"/>
    <w:rsid w:val="76257065"/>
    <w:rsid w:val="766F01AC"/>
    <w:rsid w:val="76C84BF7"/>
    <w:rsid w:val="76E067DC"/>
    <w:rsid w:val="779C6EAE"/>
    <w:rsid w:val="77DA2E34"/>
    <w:rsid w:val="780A371A"/>
    <w:rsid w:val="780D7AF1"/>
    <w:rsid w:val="781C33ED"/>
    <w:rsid w:val="7833503D"/>
    <w:rsid w:val="787F1108"/>
    <w:rsid w:val="78986F77"/>
    <w:rsid w:val="78D61108"/>
    <w:rsid w:val="791B54B2"/>
    <w:rsid w:val="793439F5"/>
    <w:rsid w:val="794744F9"/>
    <w:rsid w:val="7955321E"/>
    <w:rsid w:val="796E3D99"/>
    <w:rsid w:val="797C3244"/>
    <w:rsid w:val="799139C7"/>
    <w:rsid w:val="79BD5174"/>
    <w:rsid w:val="79EE2BC7"/>
    <w:rsid w:val="7A186171"/>
    <w:rsid w:val="7A562872"/>
    <w:rsid w:val="7A70182E"/>
    <w:rsid w:val="7AB7E244"/>
    <w:rsid w:val="7AC34054"/>
    <w:rsid w:val="7AEE7323"/>
    <w:rsid w:val="7B8D7C88"/>
    <w:rsid w:val="7C252C88"/>
    <w:rsid w:val="7C492879"/>
    <w:rsid w:val="7C7123FD"/>
    <w:rsid w:val="7C870086"/>
    <w:rsid w:val="7C9F3CAC"/>
    <w:rsid w:val="7CA53A11"/>
    <w:rsid w:val="7CC61BD9"/>
    <w:rsid w:val="7CE22FC4"/>
    <w:rsid w:val="7CF809B2"/>
    <w:rsid w:val="7CFE0DF7"/>
    <w:rsid w:val="7D007C96"/>
    <w:rsid w:val="7D5316BF"/>
    <w:rsid w:val="7D880CE5"/>
    <w:rsid w:val="7D9341B1"/>
    <w:rsid w:val="7DEF22B8"/>
    <w:rsid w:val="7E065567"/>
    <w:rsid w:val="7E464D80"/>
    <w:rsid w:val="7ECE2AEB"/>
    <w:rsid w:val="7ECE3A16"/>
    <w:rsid w:val="7ED93E46"/>
    <w:rsid w:val="7F231565"/>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17</Pages>
  <Words>7696</Words>
  <Characters>8117</Characters>
  <Lines>56</Lines>
  <Paragraphs>15</Paragraphs>
  <TotalTime>0</TotalTime>
  <ScaleCrop>false</ScaleCrop>
  <LinksUpToDate>false</LinksUpToDate>
  <CharactersWithSpaces>8874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2025-05-28T02:10:00Z</cp:lastPrinted>
  <dcterms:modified xsi:type="dcterms:W3CDTF">2025-11-13T08:49:31Z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0424083260324EC2B0A7E5668366B6F0_13</vt:lpwstr>
  </property>
  <property fmtid="{D5CDD505-2E9C-101B-9397-08002B2CF9AE}" pid="4" name="KSOTemplateDocerSaveRecord">
    <vt:lpwstr>eyJoZGlkIjoiMzEzZDllMGEzMjY0YTk3ZDNjZDQ1YWE5NTdkYjJjMjUiLCJ1c2VySWQiOiIxMDA3OTMzMzY5In0=</vt:lpwstr>
  </property>
</Properties>
</file>