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2697BB23">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铜阳极泥处理系统升级改造扩建项目土建工程</w:t>
      </w:r>
    </w:p>
    <w:p w14:paraId="7306F1D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2#浸出工序粘土回填土方机械租赁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56</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铜阳极泥处理系统升级改造扩建项目土建工程</w:t>
      </w:r>
      <w:r>
        <w:rPr>
          <w:rFonts w:hint="eastAsia" w:ascii="仿宋" w:hAnsi="仿宋" w:eastAsia="仿宋" w:cs="仿宋"/>
          <w:b/>
          <w:bCs/>
          <w:sz w:val="24"/>
          <w:szCs w:val="24"/>
          <w:u w:val="none"/>
          <w:lang w:val="en-US" w:eastAsia="zh-CN"/>
        </w:rPr>
        <w:t>2#浸出工序粘土回填土方机械设备租赁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铜阳极泥处理系统升级改造扩建项目土建工程</w:t>
      </w:r>
      <w:r>
        <w:rPr>
          <w:rFonts w:hint="eastAsia" w:ascii="仿宋" w:hAnsi="仿宋" w:eastAsia="仿宋" w:cs="仿宋"/>
          <w:sz w:val="24"/>
          <w:szCs w:val="24"/>
          <w:u w:val="single"/>
          <w:lang w:val="en-US" w:eastAsia="zh-CN"/>
        </w:rPr>
        <w:t>2#浸出工序粘土回填土方机械设备租赁（详见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bookmarkStart w:id="2" w:name="_GoBack"/>
      <w:bookmarkEnd w:id="2"/>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w:t>
      </w:r>
      <w:r>
        <w:rPr>
          <w:rFonts w:hint="eastAsia" w:ascii="仿宋" w:hAnsi="仿宋" w:eastAsia="仿宋" w:cs="仿宋"/>
          <w:color w:val="auto"/>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铜阳极泥处理系统升级改造扩建项目土建工程</w:t>
      </w:r>
      <w:r>
        <w:rPr>
          <w:rFonts w:hint="eastAsia" w:ascii="仿宋" w:hAnsi="仿宋" w:eastAsia="仿宋" w:cs="仿宋"/>
          <w:sz w:val="24"/>
          <w:szCs w:val="24"/>
          <w:lang w:val="en-US" w:eastAsia="zh-CN"/>
        </w:rPr>
        <w:t>2#浸出工序粘土回填土方机械设备租赁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）工程内容：取土点</w:t>
      </w:r>
      <w:r>
        <w:rPr>
          <w:rFonts w:hint="eastAsia" w:ascii="仿宋" w:hAnsi="仿宋" w:eastAsia="仿宋" w:cs="仿宋"/>
          <w:sz w:val="24"/>
          <w:szCs w:val="24"/>
          <w:lang w:val="en-US" w:eastAsia="zh-CN"/>
        </w:rPr>
        <w:t>取土、土方运输至现场、现场基坑填土夯实</w:t>
      </w:r>
      <w:r>
        <w:rPr>
          <w:rFonts w:hint="eastAsia" w:ascii="仿宋" w:hAnsi="仿宋" w:eastAsia="仿宋" w:cs="仿宋"/>
          <w:sz w:val="24"/>
          <w:szCs w:val="24"/>
          <w:lang w:eastAsia="zh-CN"/>
        </w:rPr>
        <w:t>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2个月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5BA73162">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铜阳极泥处理系统升级改造扩建项目土建工程-2#浸出工序粘土回填土方机械租赁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TGJA-JX-2025-056</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48"/>
        <w:gridCol w:w="3520"/>
        <w:gridCol w:w="587"/>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48"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520"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87"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748" w:type="dxa"/>
            <w:vMerge w:val="continue"/>
            <w:noWrap w:val="0"/>
            <w:vAlign w:val="center"/>
          </w:tcPr>
          <w:p w14:paraId="4407F581">
            <w:pPr>
              <w:jc w:val="center"/>
              <w:rPr>
                <w:rFonts w:hint="eastAsia" w:ascii="仿宋" w:hAnsi="仿宋" w:eastAsia="仿宋" w:cs="仿宋"/>
                <w:b/>
                <w:sz w:val="24"/>
                <w:szCs w:val="24"/>
                <w:lang w:eastAsia="zh-CN"/>
              </w:rPr>
            </w:pPr>
          </w:p>
        </w:tc>
        <w:tc>
          <w:tcPr>
            <w:tcW w:w="3520" w:type="dxa"/>
            <w:vMerge w:val="continue"/>
            <w:noWrap w:val="0"/>
            <w:vAlign w:val="center"/>
          </w:tcPr>
          <w:p w14:paraId="246FD107">
            <w:pPr>
              <w:jc w:val="center"/>
              <w:rPr>
                <w:rFonts w:hint="eastAsia" w:ascii="仿宋" w:hAnsi="仿宋" w:eastAsia="仿宋" w:cs="仿宋"/>
                <w:b/>
                <w:sz w:val="24"/>
                <w:szCs w:val="24"/>
              </w:rPr>
            </w:pPr>
          </w:p>
        </w:tc>
        <w:tc>
          <w:tcPr>
            <w:tcW w:w="587"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挖掘机、环保自卸汽车及压路机</w:t>
            </w:r>
          </w:p>
        </w:tc>
        <w:tc>
          <w:tcPr>
            <w:tcW w:w="748"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520" w:type="dxa"/>
            <w:shd w:val="clear" w:color="auto" w:fill="auto"/>
            <w:noWrap w:val="0"/>
            <w:vAlign w:val="center"/>
          </w:tcPr>
          <w:p w14:paraId="3B5CDED4">
            <w:pPr>
              <w:numPr>
                <w:ilvl w:val="0"/>
                <w:numId w:val="0"/>
              </w:numPr>
              <w:ind w:left="0" w:leftChars="0"/>
              <w:jc w:val="left"/>
              <w:rPr>
                <w:rFonts w:hint="default" w:eastAsia="宋体"/>
                <w:sz w:val="22"/>
                <w:szCs w:val="22"/>
                <w:lang w:val="en-US" w:eastAsia="zh-CN"/>
              </w:rPr>
            </w:pPr>
            <w:r>
              <w:rPr>
                <w:rFonts w:hint="eastAsia" w:ascii="Calibri" w:hAnsi="Calibri" w:eastAsia="宋体" w:cs="Times New Roman"/>
                <w:kern w:val="2"/>
                <w:sz w:val="22"/>
                <w:szCs w:val="22"/>
                <w:lang w:val="en-US" w:eastAsia="zh-CN" w:bidi="ar-SA"/>
              </w:rPr>
              <w:t>1、</w:t>
            </w:r>
            <w:r>
              <w:rPr>
                <w:rFonts w:hint="eastAsia" w:eastAsia="宋体"/>
                <w:sz w:val="22"/>
                <w:szCs w:val="22"/>
                <w:lang w:val="en-US" w:eastAsia="zh-CN"/>
              </w:rPr>
              <w:t>取土点取土；</w:t>
            </w:r>
          </w:p>
          <w:p w14:paraId="7133FA67">
            <w:pPr>
              <w:numPr>
                <w:ilvl w:val="0"/>
                <w:numId w:val="0"/>
              </w:numPr>
              <w:ind w:left="0" w:leftChars="0"/>
              <w:jc w:val="left"/>
              <w:rPr>
                <w:rFonts w:hint="default" w:eastAsia="宋体"/>
                <w:sz w:val="22"/>
                <w:szCs w:val="22"/>
                <w:lang w:val="en-US" w:eastAsia="zh-CN"/>
              </w:rPr>
            </w:pPr>
            <w:r>
              <w:rPr>
                <w:rFonts w:hint="default" w:ascii="Calibri" w:hAnsi="Calibri" w:eastAsia="宋体" w:cs="Times New Roman"/>
                <w:kern w:val="2"/>
                <w:sz w:val="22"/>
                <w:szCs w:val="22"/>
                <w:lang w:val="en-US" w:eastAsia="zh-CN" w:bidi="ar-SA"/>
              </w:rPr>
              <w:t>2、</w:t>
            </w:r>
            <w:r>
              <w:rPr>
                <w:rFonts w:hint="eastAsia" w:eastAsia="宋体"/>
                <w:sz w:val="22"/>
                <w:szCs w:val="22"/>
                <w:lang w:val="en-US" w:eastAsia="zh-CN"/>
              </w:rPr>
              <w:t>土方开挖装车；</w:t>
            </w:r>
          </w:p>
          <w:p w14:paraId="35F2F613">
            <w:pPr>
              <w:numPr>
                <w:ilvl w:val="0"/>
                <w:numId w:val="0"/>
              </w:numPr>
              <w:ind w:left="0" w:leftChars="0"/>
              <w:jc w:val="left"/>
              <w:rPr>
                <w:rFonts w:hint="default" w:eastAsia="宋体"/>
                <w:sz w:val="22"/>
                <w:szCs w:val="22"/>
                <w:lang w:val="en-US" w:eastAsia="zh-CN"/>
              </w:rPr>
            </w:pPr>
            <w:r>
              <w:rPr>
                <w:rFonts w:hint="default" w:ascii="Calibri" w:hAnsi="Calibri" w:eastAsia="宋体" w:cs="Times New Roman"/>
                <w:kern w:val="2"/>
                <w:sz w:val="22"/>
                <w:szCs w:val="22"/>
                <w:lang w:val="en-US" w:eastAsia="zh-CN" w:bidi="ar-SA"/>
              </w:rPr>
              <w:t>3、</w:t>
            </w:r>
            <w:r>
              <w:rPr>
                <w:rFonts w:hint="eastAsia" w:eastAsia="宋体"/>
                <w:sz w:val="22"/>
                <w:szCs w:val="22"/>
                <w:lang w:val="en-US" w:eastAsia="zh-CN"/>
              </w:rPr>
              <w:t>土方运输至现场，运距25km；</w:t>
            </w:r>
          </w:p>
          <w:p w14:paraId="2836C92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sz w:val="22"/>
                <w:szCs w:val="22"/>
                <w:lang w:val="en-US" w:eastAsia="zh-CN"/>
              </w:rPr>
              <w:t>4、现场基坑土方回填并分层夯实。</w:t>
            </w:r>
          </w:p>
        </w:tc>
        <w:tc>
          <w:tcPr>
            <w:tcW w:w="587" w:type="dxa"/>
            <w:shd w:val="clear" w:color="auto" w:fill="auto"/>
            <w:noWrap w:val="0"/>
            <w:vAlign w:val="center"/>
          </w:tcPr>
          <w:p w14:paraId="4562503B">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sz w:val="24"/>
                <w:szCs w:val="24"/>
                <w:lang w:val="en-US" w:eastAsia="zh-CN"/>
              </w:rPr>
              <w:t>m</w:t>
            </w:r>
            <w:r>
              <w:rPr>
                <w:rFonts w:hint="eastAsia"/>
                <w:sz w:val="24"/>
                <w:szCs w:val="24"/>
                <w:vertAlign w:val="superscript"/>
                <w:lang w:val="en-US" w:eastAsia="zh-CN"/>
              </w:rPr>
              <w:t>3</w:t>
            </w:r>
          </w:p>
        </w:tc>
        <w:tc>
          <w:tcPr>
            <w:tcW w:w="1031" w:type="dxa"/>
            <w:shd w:val="clear" w:color="auto" w:fill="auto"/>
            <w:noWrap w:val="0"/>
            <w:vAlign w:val="center"/>
          </w:tcPr>
          <w:p w14:paraId="0C0825A2">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sz w:val="24"/>
                <w:szCs w:val="24"/>
                <w:lang w:val="en-US" w:eastAsia="zh-CN"/>
              </w:rPr>
              <w:t>2000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47.73元/m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95460</w:t>
            </w:r>
            <w:r>
              <w:rPr>
                <w:rFonts w:hint="eastAsia" w:ascii="Times New Roman" w:hAnsi="Times New Roman" w:cs="Times New Roman"/>
                <w:i w:val="0"/>
                <w:iCs w:val="0"/>
                <w:color w:val="000000"/>
                <w:kern w:val="0"/>
                <w:sz w:val="22"/>
                <w:szCs w:val="22"/>
                <w:u w:val="none"/>
                <w:lang w:val="en-US" w:eastAsia="zh-CN" w:bidi="ar"/>
              </w:rPr>
              <w:t>.00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C0CF52B">
      <w:pPr>
        <w:spacing w:line="240" w:lineRule="auto"/>
        <w:rPr>
          <w:rFonts w:hint="eastAsia" w:ascii="仿宋" w:hAnsi="仿宋" w:eastAsia="仿宋" w:cs="仿宋"/>
          <w:sz w:val="22"/>
          <w:szCs w:val="22"/>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spacing w:line="240" w:lineRule="auto"/>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355" w:right="1417" w:bottom="1225"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0FD4E55"/>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9345DE"/>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0AF7EC6"/>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8966CA"/>
    <w:rsid w:val="7ECE2AEB"/>
    <w:rsid w:val="7ECE3A16"/>
    <w:rsid w:val="7EF46BE9"/>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3638</Words>
  <Characters>3980</Characters>
  <Lines>56</Lines>
  <Paragraphs>15</Paragraphs>
  <TotalTime>6</TotalTime>
  <ScaleCrop>false</ScaleCrop>
  <LinksUpToDate>false</LinksUpToDate>
  <CharactersWithSpaces>4263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2025-11-07T07:05:07Z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